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兴银理财增盈稳享封闭式10号固收类理财产品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兴银理财增盈稳享封闭式10号固收类理财产品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Z7002022000186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1,054,121,877.38份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增盈稳享封闭式10号A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558,739,107.68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增盈稳享封闭式10号B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495,382,769.70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产品9K24010A自成立日以来，累计净值增长率为1.1030%，年化累计净值增长率为3.0044%。</w:t>
            </w:r>
            <w:r>
              <w:rPr>
                <w:rFonts w:ascii="宋体" w:hAnsi="宋体" w:eastAsia="宋体" w:cs="宋体"/>
                <w:color w:val="000000"/>
                <w:sz w:val="21"/>
              </w:rPr>
              <w:br w:type="textWrapping"/>
            </w:r>
            <w:r>
              <w:rPr>
                <w:rFonts w:ascii="宋体" w:hAnsi="宋体" w:eastAsia="宋体" w:cs="宋体"/>
                <w:color w:val="000000"/>
                <w:sz w:val="21"/>
              </w:rPr>
              <w:t>产品9K24010B自成立日以来，累计净值增长率为1.1400%，年化累计净值增长率为3.1052%。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1,065,928,573.02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564,900,522.99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501,028,050.03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2</w:t>
            </w:r>
            <w:r>
              <w:rPr>
                <w:rFonts w:ascii="宋体" w:hAnsi="宋体" w:eastAsia="宋体" w:cs="宋体"/>
                <w:color w:val="000000"/>
                <w:sz w:val="21"/>
              </w:rPr>
              <w:t xml:space="preserve">022年三季度，国内经济增速略有改善，通胀维持低位。政策方面，货币政策宽松，且有降息操作。银行间资金利率处于低位。债市方面，债券市场收益率总体下行。股市方面，先涨后跌。本报告期内，本组合债券维持中短久期，权益风格均衡为主。 </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展望2022年四季度季度，预计经济增速会有所企稳。货币政策方面，目前维持宽松，但考虑到汇率，宽松空间存疑。综合来看，债券中性为主。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 </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10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22常州滨湖01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135,252,315.00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22新中泰集团ZR003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105,187,425.00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22盐城交投10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90,170,010.00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22江津华信01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80,152,160.00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22浙奉化城投ZR002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57,111,264.00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建信保险资管-浦江粤启1号资产支持计划第5期—万科（深圳分行）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50,015,450.00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22武夷建设01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41,074,497.00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21泰州城建MTN001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40,938,000.00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40,727,720.00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20崇发01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40,662,480.00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20伊犁财通MTN001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21光明MTN004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21中航租赁MTN002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051010100101405515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兴银理财增盈稳享封闭式10号固收类理财产品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64F6D0E"/>
    <w:rsid w:val="2CE739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2022-10-21T06:16:00Z</dcterms:created>
  <dc:creator>User</dc:creator>
  <cp:lastModifiedBy>cib</cp:lastModifiedBy>
  <dcterms:modified xsi:type="dcterms:W3CDTF">2022-10-21T12:22:25Z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