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233,305,184,274.80份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报告期内，本产品90318011七日年化收益率均值2.9134%。同期业绩比较基准如下：</w:t>
            </w: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2020-10-01至2020-12-31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人民银行七天通知存款利率</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0.8199</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2.9260%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233,305,184,274.80</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24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闫思聪先生，澳大利亚新南威尔士大学硕士，CFA，FRM，CPA。2009年加入兴业银行总行，历任资金营运中心代客财富管理处产品经理、资产管理部产品研发处投资经理、产品研发处副处长，具备近10年的银行大型开放式理财产品投资组合管理及流动性管理经历，积累了丰富的产品管理经验。2018年起担任“现金宝添利1号”净值型理财产品投资经理。</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2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1、宏观经济及市场情况</w:t>
              <w:br/>
              <w:t xml:space="preserve">    2020年四季度，国内经济进一步修复，经济增速大致回到疫情前水平，基本面向好、债市整体承压。11月初美国大选尘埃落定，风险偏好回升压制债市；11月10日的永煤违约事件进一步催化债券市场的走熊，信用利差迅速走阔并将恐慌情绪传导至利率市场，10年国债收益率一度突破3.35%，创下年内新高；直到11月21日周末的金融委会议定调恶意“逃废债”的处置力度，央行不断向市场送温暖呵护流动性之后，利率债超跌后企稳回落。但信用债的冲击余波还在持续，一级取消发行增加，煤炭、弱城投首当其冲，甚至引发了对明年信用收缩的担忧。12月央行持续净投放呵护跨年资金面，短端利率大幅回落，债市基本回到疫情前水平。</w:t>
              <w:br/>
              <w:t xml:space="preserve">    展望2021年，后疫情时代的经济修复和政策回归将是市场的主题，而经济恢复的速度和结构、政策退出的节奏与力度，会进一步影响债市的微观结构。宏观经济因强基数驱动，大概率呈现前高后低的趋势，当前债券市场已经处于一轮利率上行的尾部，市场对利率见顶已经有一致性预期，实体经济、通胀和社融高点相继出现的节奏错位，可能会进一步加剧债市波动。</w:t>
              <w:br/>
              <w:t xml:space="preserve">2、前期运作回顾</w:t>
              <w:br/>
              <w:t xml:space="preserve">    报告期内（2020.10.1-2020.12.31），本产品始终将保持流动性安全和防范信用风险作为第一要务，通过稳健的投资风格实现相对稳定的收益。在资产组合配置上，维持以高评级信用债为主，同时配置适量的利率债、同业存单等资产兼顾安全性、流动性和收益性。10-11月债券市场收益率震荡上行、信用利差和期限利差走阔，我们在综合考虑不同资产风险收益和流动性的基础上，择优配置中高评级信用债；同时在市场震荡上行之际积极把握利率债和同业存单的买入机会，在11月市场高点适当拉长久期、增大建仓量，进一步提升产品收益的竞争力。临近年末，我们以保证产品跨年流动性安全为首要任务，积极融入短期跨年资金，顺利跨年。</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394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3、后期投资策略</w:t>
              <w:br/>
              <w:t xml:space="preserve">    下阶段本产品依然会保持安全性和流动性优先、兼顾收益性的稳健投资策略，为客户创造稳定的收益回报。我们会深入研究分析宏观经济运行规律和利率走势，综合考量各投资品种的风险收益特征，并结合即将颁布的《关于规范现金管理类理财产品管理有关事项的通知》的相关要求，在此基础上自上而下地制定科学有效的投资策略。同时，持续关注市场情况，精准把握投资时点，在市场调整到位时择机而动，以持有到期的票息策略为主、杠杆策略为辅，提高组合静态收益；同时控制组合久期，在短久期、中高评级品种中挖掘投资机会，增厚产品收益。</w:t>
              <w:br/>
              <w:t xml:space="preserve">    具体来看，当前债券市场利率面临调整压力，投资策略上以中短久期、票息策略为主，在投资品种的选择上，综合考虑利率债、存单、存款及高等级信用债等品种的收益性和流动性，遴选优质投资标的。具体投资操作上，利率品种会适当关注市场过度调整时的波段建仓机会，信用债则以中高等级为主、严格规避信用风险。流动性管理方面，密切关注春节和一季度末两个关键时点，动态监测产品申购赎回数据，提前部署流动性安排，全力保证产品流动性安全。</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3200"/>
              <w:gridCol w:w="4000"/>
              <w:gridCol w:w="2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15.77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84.23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500"/>
                    <w:gridCol w:w="2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报告期末本产品债券回购融资余额未超过净资产规模的40%，本产品总资产未超过该产品净资产规模的140%，符合产品协议对本产品杠杆比例的要求。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2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建设银行（深圳分行）活期存款</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15,600,000,000.00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6.69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20进出12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18渤海银行02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19进出03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2,340,000,000.00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20进出03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2,060,000,000.00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0.86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存放同业20200903001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0.86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15农发12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20江苏银行CD070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0.77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18中铁股ABN001优先</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1,670,000,000.00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0.72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18农发09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0.71</w:t>
                        </w:r>
                      </w:p>
                    </w:tc>
                  </w:tr>
                </w:tbl>
                <w:p>
                  <w:pPr>
                    <w:pStyle w:val="EMPTY_CELL_STYLE"/>
                  </w:pPr>
                </w:p>
              </w:tc>
            </w:tr>
          </w:tbl>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60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19厦门银行03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20浙旅游SCP001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20京城建SCP001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20百联集SCP003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20上实SCP001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20桐乡城投SCP003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16赣高速PPN002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20石国投CP001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19深能南京绿色ABN001优先02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19深能南京绿色ABN001优先03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19中国华融债01(品种一)</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16北部湾MTN002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16南宁城投MTN001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17余姚城投MTN001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18厦门市政MTN001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18苏交通MTN002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18西永MTN002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18平安租赁MTN001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19太钢MTN001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19吴中经发MTN001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18华夏租赁01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19华夏租赁01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19兴业消费金融债01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20中国水务SCP001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20海宁皮革SCP001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20青岛国信SCP003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19宜兴城投PPN001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20宁河西CP002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20蔷薇沐风ABN002优先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16宿迁交通MTN001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宿迁市交通产业集团有限公司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16陕有色MTN001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16华虹集团MTN001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16南京高新MTN001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18新盛建设MTN001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18万科MTN001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18顺丰泰森MTN001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18国药租赁MTN002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19中石油MTN002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19镇江城建MTN001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18厦门银行02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18九江银行绿色金融02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20武汉航空SCP001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20嘉兴滨海SCP002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20陕西水务CP001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20鄂联投CP001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18中铁保理ABN002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20华电绿色（疫情防控债）ABN001优先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155,136,000.00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18皖投集MTN001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18象屿MTN002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18太不锈MTN001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20闽高01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福建发展高速公路股份有限公司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11中信集MTN3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20温州交运(疫情防控债)SCP001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20苏国资SCP002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20鲁金SCP002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20宿迁交通SCP002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宿迁市交通产业集团有限公司、兴业银行股份有限公司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20宁德国投CP001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20中建国际CP001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18川发展MTN001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18高速路桥MTN001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18中广核租MTN001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18甘国投MTN002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19伊利实业MTN001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20柳钢集团SCP005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20渝水务SCP001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20港兴港投SCP002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20平安不动SCP007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18青岛城投PPN001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18宁河西PPN001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20淮北矿CP001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20湖北文旅(疫情防控债)CP001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20昌吉国投CP001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81,895,000.00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20蔷薇沐风ABN003优先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267,000,000.00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20惠兴ABN001优先A2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16天津轨交MTN001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16福州城建MTN001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18河钢集MTN005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18金隅MTN002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19国开投MTN001A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20哈城投债MTN001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20临空港投MTN002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18厦门银行01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18海峡银行01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18兴业租赁债03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20苏通SCP001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20佛燃能源SCP001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20杭金投SCP005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20光明房产SCP001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16福州城建PPN002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18宜兴城投PPN003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20杭实投CP001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20中建上海ABN001优先A1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4,551,600.00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14并龙城MTN001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16北部湾MTN001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17甘国投MTN001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18福清国资MTN001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18鲁能源MTN001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18沪临港MTN001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18河钢集MTN010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18太钢MTN003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19苏国信MTN001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20惠山国投MTN001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20安踏体育MTN001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19兴业租赁债01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46,000,000.00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20南京浦口PPN007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19福新能源ABN001优先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20,559,000.00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16龙岩交通MTN001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18兖矿MTN003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18津城建MTN006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18徐矿MTN002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20津能源MTN001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20武夷投资MTN003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18九江绿色债01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18建信租赁债03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20佛山建投SCP001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20广汽商贸SCP001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宿迁市交通产业集团有限公司、兴业银行股份有限公司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20新希望SCP004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18青岛城投PPN002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20宁河西CP001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20华发大湾ABN002优先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16晋焦煤MTN001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17鲁能源MTN001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18津城建MTN005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18建发地产MTN001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18豫高管MTN005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19泸州窖MTN001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20成华旧城MTN001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20泰安城乡MTN002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20滨江房产MTN003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18越秀集团GN002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42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18宜兴城投PPN003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16宿迁交通MTN001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宿迁市交通产业集团有限公司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20宿迁交通SCP002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宿迁市交通产业集团有限公司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宿迁市交通产业集团有限公司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20闽高01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福建发展高速公路股份有限公司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19宜兴城投PPN001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宜兴市城市发展投资有限公司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r>
      <w:tr>
        <w:trPr>
          <w:trHeight w:hRule="exact" w:val="1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3" w:name="JR_PAGE_ANCHOR_0_14"/>
            <w:bookmarkEnd w:id="1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14</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