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兴业银行“现金宝-添利1号”净值型理财产品2020年第三季度报告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兴业银行“现金宝-添利1号”净值型理财产品</w:t>
              <w:br/>
              <w:t xml:space="preserve">2020年第三季度报告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报告送出日期：2020年10月28日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14</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兴业银行“现金宝-添利1号”净值型理财产品2020年第三季度报告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14</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兴业银行“现金宝-添利1号”净值型理财产品2020年第三季度报告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兴业银行“现金宝-添利1号”净值型理财产品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90318011</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C1030918000502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开放式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228,860,736,513.08份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人民银行七天通知存款利率</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人民币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风险收益特征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本产品具有基本无风险、高流动性的特征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3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14</w:t>
            </w:r>
          </w:p>
        </w:tc>
        <w:tc>
          <w:tcPr>
     </w:tcPr>
          <w:p>
            <w:pPr>
              <w:pStyle w:val="EMPTY_CELL_STYLE"/>
            </w:pPr>
          </w:p>
        </w:tc>
        <w:tc>
          <w:tcPr>
     </w:tcPr>
          <w:p>
            <w:pPr>
              <w:pStyle w:val="EMPTY_CELL_STYLE"/>
            </w:pPr>
          </w:p>
        </w:tc>
      </w:tr>
    </w:tbl>
    <w:tbl>
      <w:tblPr>
        <w:tblLayout w:type="fixed"/>
      </w:tblPr>
      <w:tblGrid>
        <w:gridCol w:w="1"/>
        <w:gridCol w:w="20"/>
        <w:gridCol w:w="2780"/>
        <w:gridCol w:w="600"/>
        <w:gridCol w:w="2000"/>
        <w:gridCol w:w="2000"/>
        <w:gridCol w:w="800"/>
        <w:gridCol w:w="2500"/>
        <w:gridCol w:w="20"/>
        <w:gridCol w:w="80"/>
        <w:gridCol w:w="6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7"/>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兴业银行“现金宝-添利1号”净值型理财产品2020年第三季度报告</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7"/>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9"/>
            <w:tcMar>
              <w:top w:w="0" w:type="dxa"/>
              <w:left w:w="0" w:type="dxa"/>
              <w:bottom w:w="0" w:type="dxa"/>
              <w:right w:w="0" w:type="dxa"/>
            </w:tcMar>
            <w:vAlign w:val="center"/>
          </w:tcPr>
          <w:p>
            <w:pPr>
              <w:ind/>
            </w:pPr>
            <w:r>
              <w:rPr>
                <w:rFonts w:ascii="宋体" w:hAnsi="宋体" w:eastAsia="宋体" w:cs="宋体"/>
                <w:color w:val="000000"/>
                <w:sz w:val="21"/>
              </w:rPr>
              <w:t xml:space="preserve"> 报告期内，本产品七日年化收益率均值2.8697%，同期业绩比较基准如下：</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0"/>
        </w:trPr>
        <w:tc>
          <w:tcPr>
     </w:tcPr>
          <w:p>
            <w:pPr>
              <w:pStyle w:val="EMPTY_CELL_STYLE"/>
            </w:pPr>
          </w:p>
        </w:tc>
        <w:tc>
          <w:tcPr>
     </w:tcPr>
          <w:p>
            <w:pPr>
              <w:pStyle w:val="EMPTY_CELL_STYLE"/>
            </w:pPr>
          </w:p>
        </w:tc>
        <w:tc>
          <w:tcPr>
            <w:gridSpan w:val="7"/>
            <w:tcMar>
              <w:top w:w="0" w:type="dxa"/>
              <w:left w:w="0" w:type="dxa"/>
              <w:bottom w:w="0" w:type="dxa"/>
              <w:right w:w="0" w:type="dxa"/>
            </w:tcMar>
          </w:tcPr>
          <w:tbl>
            <w:tblPr>
              <w:tblLayout w:type="fixed"/>
            </w:tblPr>
            <w:tblGrid>
              <w:gridCol w:w="5600"/>
              <w:gridCol w:w="5100"/>
            </w:tblGrid>
            <w:tr>
              <w:trPr>
                <w:trHeight w:hRule="exact" w:val="600"/>
              </w:trPr>
              <w:tc>
                <w:tcPr>
                  <w:shd w:val="clear" w:color="auto" w:fill="B0B0B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5600"/>
                    <w:gridCol w:w="5600"/>
                  </w:tblGrid>
                  <w:tr>
                    <w:trPr>
                      <w:trHeight w:hRule="atLeast" w:val="560"/>
                    </w:trPr>
                    <w:tc>
                      <w:tcPr>
                        <w:shd w:val="clear" w:color="auto" w:fill="BFBFBF"/>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pPr>
                          <w:ind/>
                          <w:jc w:val="center"/>
                        </w:pPr>
                        <w:r>
                          <w:rPr>
                            <w:rFonts w:ascii="宋体" w:hAnsi="宋体" w:eastAsia="宋体" w:cs="宋体"/>
                            <w:color w:val="000000"/>
                            <w:sz w:val="21"/>
                            <w:b w:val="true"/>
                          </w:rPr>
                          <w:t xml:space="preserve">适用期间</w:t>
                        </w:r>
                      </w:p>
                    </w:tc>
                  </w:tr>
                </w:tbl>
                <w:p>
                  <w:pPr>
                    <w:pStyle w:val="EMPTY_CELL_STYLE"/>
                  </w:pPr>
                </w:p>
              </w:tc>
              <w:tc>
                <w:tcPr>
                  <w:shd w:val="clear" w:color="auto" w:fill="B0B0B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5100"/>
                    <w:gridCol w:w="5100"/>
                  </w:tblGrid>
                  <w:tr>
                    <w:trPr>
                      <w:trHeight w:hRule="atLeast" w:val="560"/>
                    </w:trPr>
                    <w:tc>
                      <w:tcPr>
                        <w:shd w:val="clear" w:color="auto" w:fill="BFBFBF"/>
                        <w:tcMar>
                          <w:top w:w="40" w:type="dxa"/>
                          <w:left w:w="40" w:type="dxa"/>
                          <w:bottom w:w="40" w:type="dxa"/>
                          <w:right w:w="40" w:type="dxa"/>
                        </w:tcMar>
                        <w:vAlign w:val="center"/>
                      </w:tcPr>
                      <w:p>
                        <w:pPr>
                          <w:ind/>
                          <w:jc w:val="center"/>
                        </w:pPr>
                        <w:r>
                          <w:rPr>
                            <w:rFonts w:ascii="宋体" w:hAnsi="宋体" w:eastAsia="宋体" w:cs="宋体"/>
                            <w:color w:val="000000"/>
                            <w:sz w:val="21"/>
                            <w:b w:val="true"/>
                          </w:rPr>
                          <w:t xml:space="preserve">业绩比较基准</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5600"/>
                    <w:gridCol w:w="5600"/>
                  </w:tblGrid>
                  <w:tr>
                    <w:trPr>
                      <w:trHeight w:hRule="atLeast" w:val="560"/>
                    </w:trPr>
                    <w:tc>
                      <w:tcPr>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pPr>
                          <w:ind/>
                          <w:jc w:val="center"/>
                        </w:pPr>
                        <w:r>
                          <w:rPr>
                            <w:rFonts w:ascii="宋体" w:hAnsi="宋体" w:eastAsia="宋体" w:cs="宋体"/>
                            <w:color w:val="000000"/>
                            <w:sz w:val="21"/>
                          </w:rPr>
                          <w:t xml:space="preserve">2020年7月1日至2020年9月30日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5100"/>
                    <w:gridCol w:w="5100"/>
                  </w:tblGrid>
                  <w:tr>
                    <w:trPr>
                      <w:trHeight w:hRule="atLeast" w:val="560"/>
                    </w:trPr>
                    <w:tc>
                      <w:tcPr>
                        <w:tcMar>
                          <w:top w:w="40" w:type="dxa"/>
                          <w:left w:w="40" w:type="dxa"/>
                          <w:bottom w:w="40" w:type="dxa"/>
                          <w:right w:w="40" w:type="dxa"/>
                        </w:tcMar>
                        <w:vAlign w:val="center"/>
                      </w:tcPr>
                      <w:p>
                        <w:pPr>
                          <w:ind/>
                          <w:jc w:val="center"/>
                        </w:pPr>
                        <w:r>
                          <w:rPr>
                            <w:rFonts w:ascii="宋体" w:hAnsi="宋体" w:eastAsia="宋体" w:cs="宋体"/>
                            <w:color w:val="000000"/>
                            <w:sz w:val="21"/>
                          </w:rPr>
                          <w:t xml:space="preserve">人民银行七天通知存款利率</w:t>
                        </w:r>
                      </w:p>
                    </w:tc>
                  </w:tr>
                </w:tbl>
                <w:p>
                  <w:pPr>
                    <w:pStyle w:val="EMPTY_CELL_STYLE"/>
                  </w:pPr>
                </w:p>
              </w:tc>
            </w:tr>
          </w:tbl>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pPr>
            <w:r>
              <w:rPr>
                <w:rFonts w:ascii="宋体" w:hAnsi="宋体" w:eastAsia="宋体" w:cs="宋体"/>
                <w:color w:val="000000"/>
                <w:sz w:val="21"/>
              </w:rPr>
              <w:t xml:space="preserve">报告期末，产品收益具体如下：</w:t>
            </w:r>
          </w:p>
        </w:tc>
        <w:tc>
          <w:tcPr>
     </w:tcPr>
          <w:p>
            <w:pPr>
              <w:pStyle w:val="EMPTY_CELL_STYLE"/>
            </w:pPr>
          </w:p>
        </w:tc>
      </w:tr>
      <w:tr>
        <w:trPr>
          <w:trHeight w:hRule="atLeast" w:val="600"/>
        </w:trPr>
        <w:tc>
          <w:tcPr>
     </w:tcPr>
          <w:p>
            <w:pPr>
              <w:pStyle w:val="EMPTY_CELL_STYLE"/>
            </w:pPr>
          </w:p>
        </w:tc>
        <w:tc>
          <w:tcPr>
            <w:gridSpan w:val="2"/>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万份收益</w:t>
            </w:r>
          </w:p>
        </w:tc>
        <w:tc>
          <w:tcPr>
            <w:gridSpan w:val="2"/>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七日年化收益率</w:t>
            </w: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2020年9月30日</w:t>
            </w: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0.8925</w:t>
            </w: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2.9710%</w:t>
            </w: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228,860,736,513.08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7"/>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240"/>
        </w:trPr>
        <w:tc>
          <w:tcPr>
     </w:tcPr>
          <w:p>
            <w:pPr>
              <w:pStyle w:val="EMPTY_CELL_STYLE"/>
            </w:pPr>
          </w:p>
        </w:tc>
        <w:tc>
          <w:tcPr>
            <w:gridSpan w:val="7"/>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闫思聪先生，澳大利亚新南威尔士大学硕士，CFA，FRM，CPA。2009年加入兴业银行总行，历任资金营运中心代客财富管理处产品经理、资产管理部产品研发处投资经理、产品研发处副处长，具备近10年的银行大型开放式理财产品投资组合管理及流动性管理经历，积累了丰富的产品管理经验。2018年起担任“现金宝添利1号”净值型理财产品投资经理。</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7"/>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800"/>
        </w:trPr>
        <w:tc>
          <w:tcPr>
     </w:tcPr>
          <w:p>
            <w:pPr>
              <w:pStyle w:val="EMPTY_CELL_STYLE"/>
            </w:pPr>
          </w:p>
        </w:tc>
        <w:tc>
          <w:tcPr>
            <w:gridSpan w:val="7"/>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1、宏观经济及市场情况</w:t>
              <w:br/>
              <w:t xml:space="preserve">    三季度国内经济恢复势头强劲，总体上呈现上半程出口、房地产稳步提升，下半程消费、制造业接力的态势。出口方面，受防疫物资和“宅经济”商品及新型贸易业态支撑下，7、8月份出口增速超预期上行，分别同比增长10.4%、11.6%， 1-8月同比增长0.80%由降转升。房地产销售上，6-8月同比增速持续放大，1-8月房地产销售额累计首次回正、同比增长3%，销售面积累计跌幅也收窄至5%；土地成交上整体市场热度比较高，累计1-8月土地成交额同比增长15.4%。国内工业和消费方面，8月PPI、PMI同比大幅回升幅度，工业增加值较上月提高0.8%，社零增速也开始同比正增长，国内经济增长内生动能明显增强。随着疫情带来的不确定性持续弱化，前期额外的预防性储蓄将逐渐转化为消费力，推动消费的补偿性增长，消费的快速修复又会促进制造业投资的增长，进一步加强国内经济增长内生动能。</w:t>
              <w:br/>
              <w:t xml:space="preserve">    政策方面，三季度货币政策延续边际收紧态势，虽然MLF超量续作仍难改变当前银行超储率持续低水位的状态，这也导致三季度资金面波动加剧。叠加基本面超预期回复等利空因素的驱动，体现在债券市场收益率上，10年国债上行20-30BP，同业存单发行持续提价。9月底央行发布的货币政策委员会第三季度例会报告，强调货币政策保持稳定适度，要更加注重精准导向，而不再强调此前的逆周期调节，表明四季度货币政策将趋于稳健、回归常态。</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
        <w:gridCol w:w="3380"/>
        <w:gridCol w:w="2000"/>
        <w:gridCol w:w="2000"/>
        <w:gridCol w:w="3300"/>
        <w:gridCol w:w="2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兴业银行“现金宝-添利1号”净值型理财产品2020年第三季度报告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494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2、前期运作回顾</w:t>
              <w:br/>
              <w:t xml:space="preserve">    报告期内（2020.7.1-2020.9.30），本产品始终将保持流动性安全和防范信用风险作为第一要务，通过稳健的投资风格实现相对稳定的收益。三季度债券市场收益率震荡上行，同业存单和利率债的上行幅度明显超过信用债；与此同时，《标准化债权类资产认定规则》正式实施，同业借款等非标准化资产投资受限。我们在综合考虑不同资产风险收益的基础上，采用以ABS及高评级信用债为主的票息策略进行配置，在保证产品流动性安全、严格控制信用风险和利率风险的基础上，保持产品在收益率上的竞争力。</w:t>
              <w:br/>
              <w:t xml:space="preserve">3、后期投资策略</w:t>
              <w:br/>
              <w:t xml:space="preserve">    下阶段本产品依然会保持安全性和流动性优先、兼顾收益性的稳健投资策略，为客户创造稳定的收益回报。我们会深入研究分析宏观经济运行规律和利率走势，综合考量各投资品种的风险收益特征，在此基础上自上而下地制定科学有效的投资策略。</w:t>
              <w:br/>
              <w:t xml:space="preserve">    具体来看，当前债券市场利率仍面临调整压力，配置上仍然坚持以中短久期、票息策略为主，在投资品种的选择上，综合考虑利率债、存单、存款及高等级信用债等品种的收益性和流动性，遴选优质投资标的。具体投资操作上，鉴于目前货币市场和债券市场波动性加大，适当关注市场过度调整时的波段建仓机会。流动性管理方面，我们会密切关注市场资金面的影响因素，动态监测申购赎回数据，合理分配现金流，年末时点提前部署流动性安排，全力保证产品流动性安全。</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0"/>
        </w:trPr>
        <w:tc>
          <w:tcPr>
     </w:tcPr>
          <w:p>
            <w:pPr>
              <w:pStyle w:val="EMPTY_CELL_STYLE"/>
            </w:pPr>
          </w:p>
        </w:tc>
        <w:tc>
          <w:tcPr>
     </w:tcPr>
          <w:p>
            <w:pPr>
              <w:pStyle w:val="EMPTY_CELL_STYLE"/>
            </w:pPr>
          </w:p>
        </w:tc>
        <w:tc>
          <w:tcPr>
            <w:gridSpan w:val="5"/>
            <w:shd w:val="clear" w:color="auto" w:fill="FFFFFF"/>
            <w:tcMar>
              <w:top w:w="0" w:type="dxa"/>
              <w:left w:w="0" w:type="dxa"/>
              <w:bottom w:w="0" w:type="dxa"/>
              <w:right w:w="0" w:type="dxa"/>
            </w:tcMar>
          </w:tcPr>
          <w:tbl>
            <w:tblPr>
              <w:tblLayout w:type="fixed"/>
            </w:tblPr>
            <w:tblGrid>
              <w:gridCol w:w="1000"/>
              <w:gridCol w:w="3200"/>
              <w:gridCol w:w="4000"/>
              <w:gridCol w:w="2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500"/>
                    <w:gridCol w:w="2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13.55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500"/>
                    <w:gridCol w:w="2500"/>
                  </w:tblGrid>
                  <w:tr>
                    <w:trPr>
                      <w:trHeight w:hRule="atLeast" w:val="600"/>
                    </w:trPr>
                    <w:tc>
                      <w:tcPr>
                        <w:tcBorders>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债券投资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84.46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500"/>
                    <w:gridCol w:w="2500"/>
                  </w:tblGrid>
                  <w:tr>
                    <w:trPr>
                      <w:trHeight w:hRule="atLeast" w:val="600"/>
                    </w:trPr>
                    <w:tc>
                      <w:tcPr>
                        <w:tcBorders>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买入返售金融资产</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1.99</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500"/>
                    <w:gridCol w:w="2500"/>
                  </w:tblGrid>
                  <w:tr>
                    <w:trPr>
                      <w:trHeight w:hRule="atLeast" w:val="600"/>
                    </w:trPr>
                    <w:tc>
                      <w:tcPr>
                        <w:tcBorders>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500"/>
                    <w:gridCol w:w="2500"/>
                  </w:tblGrid>
                  <w:tr>
                    <w:trPr>
                      <w:trHeight w:hRule="atLeast" w:val="600"/>
                    </w:trPr>
                    <w:tc>
                      <w:tcPr>
                        <w:tcBorders>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bl>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24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添利1号产品9月下旬起连续遭遇大额净赎回，累计净赎回135亿。导致9月末产品杠杆比例被动超过了140%。根据产品协议相关条款约定“因市场变化或理财资金大幅变化等情况可能在短期内使投资比例突破上述限制，此时这种情况不视为违反投资比例的规定，但兴业银行将在合理期限内进行调整，使之符合投资配置策略要求”。我司已根据协议约定，在10月初第一个工作日将产品杠杆率调整回140%以内。特此说明。</w:t>
            </w: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一方面来自理财份额持有人可在约定的开放日提出赎回其持有的理财份额，另一方面来自于若投资品种所处的交易市场不活跃，可能带来资产变现困难或产品持仓资产在市场出现剧烈波动的情况下难以以合理价格变现的风险。</w:t>
              <w:br/>
              <w:t xml:space="preserve">    为防范无法支付赎回款而产生的流动性风险，本理财产品管理人将合理安排所投资产期限，持续根据市场变化情况做好投资安排，尽可能降低产品流动性风险，有效保障理财持有人利益。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14</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0"/>
        <w:gridCol w:w="3200"/>
        <w:gridCol w:w="2000"/>
        <w:gridCol w:w="2000"/>
        <w:gridCol w:w="330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兴业银行“现金宝-添利1号”净值型理财产品2020年第三季度报告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r>
      <w:tr>
        <w:trPr>
          <w:trHeight w:hRule="exact" w:val="6640"/>
        </w:trPr>
        <w:tc>
          <w:tcPr>
     </w:tcPr>
          <w:p>
            <w:pPr>
              <w:pStyle w:val="EMPTY_CELL_STYLE"/>
            </w:pPr>
          </w:p>
        </w:tc>
        <w:tc>
          <w:tcPr>
            <w:gridSpan w:val="5"/>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质押式逆回购</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3,465,000,000.00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1.51</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18农发09</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3,060,000,000.00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1.34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18进出04</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2,700,000,000.00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1.18</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19进出03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2,340,000,000.00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1.02</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工商银行活期存款</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2,300,000,000.00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18渤海银行02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2,230,000,000.00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0.98</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15农发12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2,040,000,000.00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0.90</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存放同业20200903001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0.87</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建设银行（深圳分行）活期存款</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0.87</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20进出03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1,960,000,000.00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0.83</w:t>
                        </w:r>
                      </w:p>
                    </w:tc>
                  </w:tr>
                </w:tbl>
                <w:p>
                  <w:pPr>
                    <w:pStyle w:val="EMPTY_CELL_STYLE"/>
                  </w:pPr>
                </w:p>
              </w:tc>
            </w:tr>
          </w:tbl>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r>
      <w:tr>
        <w:trPr>
          <w:trHeight w:hRule="exact" w:val="6000"/>
        </w:trPr>
        <w:tc>
          <w:tcPr>
     </w:tcPr>
          <w:p>
            <w:pPr>
              <w:pStyle w:val="EMPTY_CELL_STYLE"/>
            </w:pPr>
          </w:p>
        </w:tc>
        <w:tc>
          <w:tcPr>
            <w:gridSpan w:val="5"/>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18兴业租赁债02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20兴银3B</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20兴银5B</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20厦门资管SCP001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20南航股SCP011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20泸州窖SCP002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20浙旅游SCP001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20京城建SCP001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20闽冶金SCP003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14</w:t>
            </w: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兴业银行“现金宝-添利1号”净值型理财产品2020年第三季度报告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400"/>
        </w:trPr>
        <w:tc>
          <w:tcPr>
     </w:tcPr>
          <w:p>
            <w:pPr>
              <w:pStyle w:val="EMPTY_CELL_STYLE"/>
            </w:pPr>
          </w:p>
        </w:tc>
        <w:tc>
          <w:tcPr>
            <w:gridSpan w:val="4"/>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20百联集SCP003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20桐乡城投SCP003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16赣高速PPN002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18宁河西PPN002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19河钢集CP004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20石国投CP001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19深能南京绿色ABN001优先02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36,000,000.00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20华发大湾ABN003优先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20汇鑫ABN002优先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16北部湾MTN002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16南宁城投MTN001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17余姚城投MTN001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18苏交通MTN002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18平安租赁MTN001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19太钢MTN001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19吴中经发MTN001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19泸州窖MTN002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18建信租赁债01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18兴业租赁债01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18华夏租赁01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19兴业消费金融债01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20兴银5A</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885,000,000.00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20济南高新SCP001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59,000,000.00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20华电云南SCP001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7/</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14</w:t>
            </w: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兴业银行“现金宝-添利1号”净值型理财产品2020年第三季度报告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400"/>
        </w:trPr>
        <w:tc>
          <w:tcPr>
     </w:tcPr>
          <w:p>
            <w:pPr>
              <w:pStyle w:val="EMPTY_CELL_STYLE"/>
            </w:pPr>
          </w:p>
        </w:tc>
        <w:tc>
          <w:tcPr>
            <w:gridSpan w:val="4"/>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20武汉航空SCP001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20格盟SCP001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20桐乡城投SCP001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20青岛国信SCP003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17余杭创新PPN003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18陕煤化PPN002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290,000,000.00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19阳煤CP007</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20蔷薇沐风ABN002优先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267,000,000.00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20中建上海ABN001优先A1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16京控MTN001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16南京高新MTN001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18新盛建设MTN001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18联发MTN001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18河钢集MTN005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18金隅MTN002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18万科MTN001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18象屿MTN002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18市北高新MTN002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18顺丰泰森MTN001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18伊犁财通MTN002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18国药租赁MTN002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19中石油MTN002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19金川MTN001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19厦国贸MTN001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8/</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14</w:t>
            </w: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兴业银行“现金宝-添利1号”净值型理财产品2020年第三季度报告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400"/>
        </w:trPr>
        <w:tc>
          <w:tcPr>
     </w:tcPr>
          <w:p>
            <w:pPr>
              <w:pStyle w:val="EMPTY_CELL_STYLE"/>
            </w:pPr>
          </w:p>
        </w:tc>
        <w:tc>
          <w:tcPr>
            <w:gridSpan w:val="4"/>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19镇江城建MTN001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16鲁高01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新时代证券股份有限公司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18厦门银行02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18九江银行绿色金融02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20兴银3A</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347,273,200.00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20中兴通讯SCP001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20鄂联投CP001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20蓉经开CP001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18中铁保理ABN002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19南京医药ABN001优先A</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304,000,000.00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15盐城城南MTN001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16晋焦煤MTN001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18皖投集MTN001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18太不锈MTN001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11中信集MTN3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20建元8A1_bc</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20红狮SCP001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20粤广业SCP003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20温州交运(疫情防控债)SCP001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20济南高新SCP002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20昆山高新SCP03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20云工投SCP002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17建发地产PPN003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18陕煤化PPN003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9/</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14</w:t>
            </w: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兴业银行“现金宝-添利1号”净值型理财产品2020年第三季度报告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400"/>
        </w:trPr>
        <w:tc>
          <w:tcPr>
     </w:tcPr>
          <w:p>
            <w:pPr>
              <w:pStyle w:val="EMPTY_CELL_STYLE"/>
            </w:pPr>
          </w:p>
        </w:tc>
        <w:tc>
          <w:tcPr>
            <w:gridSpan w:val="4"/>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20宁德国投CP001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20中建国际CP001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20河钢保理ABN001优先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590,000,000.00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19中国华融债01(品种一)</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16建发地产MTN001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18川发展MTN001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18高速路桥MTN001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18中广核租MTN001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18甘国投MTN002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18闽投MTN004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19伊利实业MTN001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19物产中大MTN001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19华夏租赁01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20柳钢集团SCP005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20渝水务SCP001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20港兴港投SCP002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20粤广告SCP002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18青岛城投PPN001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18南通城建PPN001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20安吉租赁ABN002优先A</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95,766,000.00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20蔷薇沐风ABN003优先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267,000,000.00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16天津轨交MTN001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16福州城建MTN001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16伊犁财通MTN001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10/</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14</w:t>
            </w: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兴业银行“现金宝-添利1号”净值型理财产品2020年第三季度报告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400"/>
        </w:trPr>
        <w:tc>
          <w:tcPr>
     </w:tcPr>
          <w:p>
            <w:pPr>
              <w:pStyle w:val="EMPTY_CELL_STYLE"/>
            </w:pPr>
          </w:p>
        </w:tc>
        <w:tc>
          <w:tcPr>
            <w:gridSpan w:val="4"/>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16伊犁财通MTN002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17冀交投MTN001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17滁州城投MTN001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18太钢MTN002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18汉江国资MTN003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19沪港务MTN001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19国开投MTN001A</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20哈城投债MTN001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18厦门银行01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18海峡银行01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445,000,000.00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20兴银1A</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102,520,000.00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20武汉地产SCP002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20福州城投SCP003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20京汽股SCP002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20佛燃能源SCP001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20中交城投SCP001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20苏国资SCP002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16福州城建PPN002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20杭实投CP001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16申能集MTN001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申能(集团)有限公司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18豫高管MTN001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18首钢MTN001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18鲁能源MTN001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18沪临港MTN001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75,000,000.00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14</w:t>
            </w: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兴业银行“现金宝-添利1号”净值型理财产品2020年第三季度报告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400"/>
        </w:trPr>
        <w:tc>
          <w:tcPr>
     </w:tcPr>
          <w:p>
            <w:pPr>
              <w:pStyle w:val="EMPTY_CELL_STYLE"/>
            </w:pPr>
          </w:p>
        </w:tc>
        <w:tc>
          <w:tcPr>
            <w:gridSpan w:val="4"/>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18河钢集MTN010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18太钢MTN003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18津能源MTN001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19苏国信MTN001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20安踏体育MTN001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18兴业租赁债03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19兴业租赁债01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20蒙牛SCP001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20昆明勘测SCP001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18建发地产PPN001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46,000,000.00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20南京浦口PPN007</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16陕有色MTN001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17陕西能源MTN003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18津城建MTN006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18广州高新MTN001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20武夷投资MTN003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18巨石GN001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18九江绿色债01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18建信租赁债03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20兴业消费金融债01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20柳钢集团SCP001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20东航股SCP011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20佛山建投SCP001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20新希望SCP004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12/</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14</w:t>
            </w: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兴业银行“现金宝-添利1号”净值型理财产品2020年第三季度报告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20平安不动SCP007</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18青岛城投PPN002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20淮北矿CP001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20华发大湾ABN002优先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16扬州城建MTN001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18津城建MTN005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18广州地铁MTN003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18广州高新MTN002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18建发地产MTN001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18豫高管MTN005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19泸州窖MTN001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20成华旧城MTN001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20泰安城乡MTN002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18越秀集团GN002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051010100100562656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兴业银行理财托管专户现金宝添利1号净值型理财产品</w:t>
                        </w:r>
                      </w:p>
                    </w:tc>
                  </w:tr>
                </w:tbl>
                <w:p>
                  <w:pPr>
                    <w:pStyle w:val="EMPTY_CELL_STYLE"/>
                  </w:pPr>
                </w:p>
              </w:tc>
            </w:tr>
          </w:tbl>
          <w:p>
            <w:pPr>
              <w:pStyle w:val="EMPTY_CELL_STYLE"/>
            </w:pPr>
          </w:p>
        </w:tc>
        <w:tc>
          <w:tcPr>
     </w:tcPr>
          <w:p>
            <w:pPr>
              <w:pStyle w:val="EMPTY_CELL_STYLE"/>
            </w:pPr>
          </w:p>
        </w:tc>
      </w:tr>
      <w:tr>
        <w:trPr>
          <w:trHeight w:hRule="exact" w:val="10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14</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13" w:name="JR_PAGE_ANCHOR_0_14"/>
            <w:bookmarkEnd w:id="1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兴业银行“现金宝-添利1号”净值型理财产品2020年第三季度报告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top"/>
          </w:tcPr>
          <w:p>
            <w:pPr>
              <w:ind/>
              <w:jc w:val="right"/>
            </w:pPr>
            <w:r>
              <w:rPr>
                <w:rFonts w:ascii="宋体" w:hAnsi="宋体" w:eastAsia="宋体" w:cs="宋体"/>
                <w:color w:val="000000"/>
                <w:sz w:val="21"/>
              </w:rPr>
              <w:t xml:space="preserve">2020年10月28日</w:t>
            </w:r>
          </w:p>
        </w:tc>
        <w:tc>
          <w:tcPr>
     </w:tcPr>
          <w:p>
            <w:pPr>
              <w:pStyle w:val="EMPTY_CELL_STYLE"/>
            </w:pPr>
          </w:p>
        </w:tc>
      </w:tr>
      <w:tr>
        <w:trPr>
          <w:trHeight w:hRule="exact" w:val="13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14</w:t>
            </w:r>
          </w:p>
        </w:tc>
        <w:tc>
          <w:tcPr>
     </w:tcPr>
          <w:p>
            <w:pPr>
              <w:pStyle w:val="EMPTY_CELL_STYLE"/>
            </w:pPr>
          </w:p>
        </w:tc>
        <w:tc>
          <w:tcPr>
     </w:tcPr>
          <w:p>
            <w:pPr>
              <w:pStyle w:val="EMPTY_CELL_STYLE"/>
            </w:pPr>
          </w:p>
        </w:tc>
      </w:tr>
    </w:tbl>
    <w:sectPr>
      <w:pgSz w:w="11900" w:h="16840" w:orient="portrait"/>
      <w:pgMar w:top="600" w:right="60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6.4.3</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