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兴业银行天天万汇通2020年第33期净值型理财私行专属2020年第四季度报告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兴业银行天天万汇通2020年第33期净值型理财私行专属</w:t>
              <w:br/>
              <w:t xml:space="preserve">2020年第四季度报告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报告送出日期：2021年1月22日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兴业银行天天万汇通2020年第33期净值型理财私行专属2020年第四季度报告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兴业银行天天万汇通2020年第33期净值型理财私行专属2020年第四季度报告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兴业银行股份有限公司保留对所有文字说明的最终解释权。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兴业银行天天万汇通2020年第33期净值型理财私行专属</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92120033</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C1030920000428</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封闭式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10,000,000.00份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1.71%</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美元</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风险等级</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R2</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兴业银行股份有限公司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3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r>
    </w:tbl>
    <w:tbl>
      <w:tblPr>
        <w:tblLayout w:type="fixed"/>
      </w:tblPr>
      <w:tblGrid>
        <w:gridCol w:w="1"/>
        <w:gridCol w:w="20"/>
        <w:gridCol w:w="2580"/>
        <w:gridCol w:w="800"/>
        <w:gridCol w:w="1700"/>
        <w:gridCol w:w="300"/>
        <w:gridCol w:w="2000"/>
        <w:gridCol w:w="400"/>
        <w:gridCol w:w="2400"/>
        <w:gridCol w:w="400"/>
        <w:gridCol w:w="100"/>
        <w:gridCol w:w="2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10"/>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兴业银行天天万汇通2020年第33期净值型理财私行专属2020年第四季度报告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8"/>
            <w:tcMar>
              <w:top w:w="0" w:type="dxa"/>
              <w:left w:w="0" w:type="dxa"/>
              <w:bottom w:w="0" w:type="dxa"/>
              <w:right w:w="0" w:type="dxa"/>
            </w:tcMar>
            <w:vAlign w:val="center"/>
          </w:tcPr>
          <w:p>
            <w:pPr>
              <w:ind w:firstLine="0"/>
              <w:jc w:val="left"/>
              <w:spacing w:lineRule="exact" w:line="320" w:after="0" w:before="0"/>
            </w:pPr>
            <w:r>
              <w:rPr>
                <w:rFonts w:ascii="宋体" w:hAnsi="宋体" w:eastAsia="宋体" w:cs="宋体"/>
                <w:color w:val="000000"/>
                <w:sz w:val="21"/>
              </w:rPr>
              <w:t xml:space="preserve">产品92120033自起息日以来，累计净值增长率为0.8790%，年化累计净值增长率为1.7437%。</w:t>
              <w:br/>
              <w:t xml:space="preserve">报告期末，产品净值表现具体如下：</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估值日期</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产品份额净值</w:t>
            </w:r>
          </w:p>
        </w:tc>
        <w:tc>
          <w:tcPr>
            <w:gridSpan w:val="3"/>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产品累计净值 </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产品资产净值</w:t>
            </w: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2020年12月31日</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1.00879</w:t>
            </w:r>
          </w:p>
        </w:tc>
        <w:tc>
          <w:tcPr>
            <w:gridSpan w:val="3"/>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1.00879</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10,087,871.04</w:t>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92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杨漠女士，南开大学硕士。具有十年以上金融从业经验，2008年加入兴业银行，先后从事自营投资（固收交易、非标投资、外币债券投资）8年和资管投资（外币理财）4年。擅长跨市场套利、境外债信用价值挖掘，对境内外市场均有丰富的投资经验。</w:t>
            </w: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136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产品投向境内外币资产，以同业信用资产为主。产品风险较低，无期限错配。一季度资产收益率较高时，投资经理提前构建资产，后期利率下行客户仍可以获取较高的收益率。该款产品定位风险偏好厌恶型的美元币种投资者。</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投资组合情况</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10"/>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0"/>
        </w:trPr>
        <w:tc>
          <w:tcPr>
     </w:tcPr>
          <w:p>
            <w:pPr>
              <w:pStyle w:val="EMPTY_CELL_STYLE"/>
            </w:pPr>
          </w:p>
        </w:tc>
        <w:tc>
          <w:tcPr>
     </w:tcPr>
          <w:p>
            <w:pPr>
              <w:pStyle w:val="EMPTY_CELL_STYLE"/>
            </w:pPr>
          </w:p>
        </w:tc>
        <w:tc>
          <w:tcPr>
            <w:gridSpan w:val="10"/>
            <w:shd w:val="clear" w:color="auto" w:fill="FFFFFF"/>
            <w:tcMar>
              <w:top w:w="0" w:type="dxa"/>
              <w:left w:w="0" w:type="dxa"/>
              <w:bottom w:w="0" w:type="dxa"/>
              <w:right w:w="0" w:type="dxa"/>
            </w:tcMar>
          </w:tcPr>
          <w:tbl>
            <w:tblPr>
              <w:tblLayout w:type="fixed"/>
            </w:tblPr>
            <w:tblGrid>
              <w:gridCol w:w="1000"/>
              <w:gridCol w:w="2600"/>
              <w:gridCol w:w="4000"/>
              <w:gridCol w:w="31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直接投资占比（%）</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间接投资占比（%）</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bl>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c>
          <w:tcPr>
     </w:tcPr>
          <w:p>
            <w:pPr>
              <w:pStyle w:val="EMPTY_CELL_STYLE"/>
            </w:pPr>
          </w:p>
        </w:tc>
      </w:tr>
      <w:tr>
        <w:trPr>
          <w:trHeight w:hRule="atLeast" w:val="100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无。</w:t>
            </w:r>
          </w:p>
        </w:tc>
        <w:tc>
          <w:tcPr>
     </w:tcPr>
          <w:p>
            <w:pPr>
              <w:pStyle w:val="EMPTY_CELL_STYLE"/>
            </w:pPr>
          </w:p>
        </w:tc>
        <w:tc>
          <w:tcPr>
     </w:tcPr>
          <w:p>
            <w:pPr>
              <w:pStyle w:val="EMPTY_CELL_STYLE"/>
            </w:pPr>
          </w:p>
        </w:tc>
      </w:tr>
      <w:tr>
        <w:trPr>
          <w:trHeight w:hRule="exact" w:val="1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160"/>
        <w:gridCol w:w="3200"/>
        <w:gridCol w:w="2000"/>
        <w:gridCol w:w="2000"/>
        <w:gridCol w:w="3300"/>
        <w:gridCol w:w="4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兴业银行天天万汇通2020年第33期净值型理财私行专属2020年第四季度报告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c>
          <w:tcPr>
     </w:tcPr>
          <w:p>
            <w:pPr>
              <w:pStyle w:val="EMPTY_CELL_STYLE"/>
            </w:pPr>
          </w:p>
        </w:tc>
      </w:tr>
      <w:tr>
        <w:trPr>
          <w:trHeight w:hRule="atLeast" w:val="2580"/>
        </w:trPr>
        <w:tc>
          <w:tcPr>
     </w:tcPr>
          <w:p>
            <w:pPr>
              <w:pStyle w:val="EMPTY_CELL_STYLE"/>
            </w:pPr>
          </w:p>
        </w:tc>
        <w:tc>
          <w:tcPr>
            <w:gridSpan w:val="6"/>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主要来自于若投资品种所处的交易市场不活跃，可能带来资产变现困难或产品持仓资产在市场出现剧烈波动的情况下难以以合理价格变现的风险。</w:t>
              <w:br/>
              <w:t xml:space="preserve">    为防范无法支付到期赎回款而产生的流动性风险，本理财产品管理人将合理安排所投资产期限，产品到期前完成所投资组合中相关资产变现，尽可能降低产品流动性风险，有效保障理财持有人利益。</w:t>
              <w:br/>
              <w:t xml:space="preserve">    报告期内，本理财产品管理人严格遵守相关法律法规以及产品销售协议，对理财产品组合资产的流动性风险进行管理，报告期内未发生流动性风险。</w:t>
              <w:br/>
            </w: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c>
          <w:tcPr>
     </w:tcPr>
          <w:p>
            <w:pPr>
              <w:pStyle w:val="EMPTY_CELL_STYLE"/>
            </w:pPr>
          </w:p>
        </w:tc>
      </w:tr>
      <w:tr>
        <w:trPr>
          <w:trHeight w:hRule="exact" w:val="1240"/>
        </w:trPr>
        <w:tc>
          <w:tcPr>
     </w:tcPr>
          <w:p>
            <w:pPr>
              <w:pStyle w:val="EMPTY_CELL_STYLE"/>
            </w:pPr>
          </w:p>
        </w:tc>
        <w:tc>
          <w:tcPr>
            <w:gridSpan w:val="6"/>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存放同业20200624001S</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9,996,112.62</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99.09</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r>
      <w:tr>
        <w:trPr>
          <w:trHeight w:hRule="exact" w:val="1200"/>
        </w:trPr>
        <w:tc>
          <w:tcPr>
     </w:tcPr>
          <w:p>
            <w:pPr>
              <w:pStyle w:val="EMPTY_CELL_STYLE"/>
            </w:pPr>
          </w:p>
        </w:tc>
        <w:tc>
          <w:tcPr>
     </w:tcPr>
          <w:p>
            <w:pPr>
              <w:pStyle w:val="EMPTY_CELL_STYLE"/>
            </w:pPr>
          </w:p>
        </w:tc>
        <w:tc>
          <w:tcPr>
            <w:gridSpan w:val="6"/>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051011400100009531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兴业银行天天万汇通2020年第33期净值型理财产品</w:t>
                        </w:r>
                      </w:p>
                    </w:tc>
                  </w:tr>
                </w:tbl>
                <w:p>
                  <w:pPr>
                    <w:pStyle w:val="EMPTY_CELL_STYLE"/>
                  </w:pPr>
                </w:p>
              </w:tc>
            </w:tr>
          </w:tbl>
          <w:p>
            <w:pPr>
              <w:pStyle w:val="EMPTY_CELL_STYLE"/>
            </w:pPr>
          </w:p>
        </w:tc>
        <w:tc>
          <w:tcPr>
     </w:tcPr>
          <w:p>
            <w:pPr>
              <w:pStyle w:val="EMPTY_CELL_STYLE"/>
            </w:pPr>
          </w:p>
        </w:tc>
      </w:tr>
      <w:tr>
        <w:trPr>
          <w:trHeight w:hRule="exact" w:val="1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兴业银行天天万汇通2020年第33期净值型理财私行专属2020年第四季度报告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center"/>
          </w:tcPr>
          <w:p>
            <w:pPr>
              <w:ind/>
              <w:jc w:val="right"/>
            </w:pPr>
            <w:r>
              <w:rPr>
                <w:rFonts w:ascii="宋体" w:hAnsi="宋体" w:eastAsia="宋体" w:cs="宋体"/>
                <w:color w:val="000000"/>
                <w:sz w:val="21"/>
              </w:rPr>
              <w:t xml:space="preserve">兴业银行股份有限公司</w:t>
            </w: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top"/>
          </w:tcPr>
          <w:p>
            <w:pPr>
              <w:ind/>
              <w:jc w:val="right"/>
            </w:pPr>
            <w:r>
              <w:rPr>
                <w:rFonts w:ascii="宋体" w:hAnsi="宋体" w:eastAsia="宋体" w:cs="宋体"/>
                <w:color w:val="000000"/>
                <w:sz w:val="21"/>
              </w:rPr>
              <w:t xml:space="preserve">2021年1月22日</w:t>
            </w:r>
          </w:p>
        </w:tc>
        <w:tc>
          <w:tcPr>
     </w:tcPr>
          <w:p>
            <w:pPr>
              <w:pStyle w:val="EMPTY_CELL_STYLE"/>
            </w:pPr>
          </w:p>
        </w:tc>
      </w:tr>
      <w:tr>
        <w:trPr>
          <w:trHeight w:hRule="exact" w:val="13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r>
    </w:tbl>
    <w:sectPr>
      <w:pgSz w:w="11900" w:h="16840" w:orient="portrait"/>
      <w:pgMar w:top="600" w:right="60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6.4.3</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