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兴业银行天天万汇通2020年第33期净值型理财私行专属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兴业银行天天万汇通2020年第33期净值型理财私行专属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1.71%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产品92120033自起息日以来，累计净值增长率为0.8790%，年化累计净值增长率为1.7437%。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1.00879</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1.00879</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10,087,871.04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9,996,112.62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99.09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兴业银行天天万汇通2020年第33期净值型理财私行专属2020年年度报告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051011400100009531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兴业银行天天万汇通2020年第33期净值型理财产品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