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兴业银行天天万汇通2020年第34期净值型理财私行专属2020年第四季度报告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兴业银行天天万汇通2020年第34期净值型理财私行专属</w:t>
              <w:br/>
              <w:t xml:space="preserve">2020年第四季度报告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报告送出日期：2021年1月22日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兴业银行天天万汇通2020年第34期净值型理财私行专属2020年第四季度报告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兴业银行天天万汇通2020年第34期净值型理财私行专属2020年第四季度报告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兴业银行天天万汇通2020年第34期净值型理财私行专属</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92120034</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C1030920000429</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3,412,500.00份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1.58%</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兴业银行天天万汇通2020年第34期净值型理财私行专属2020年第四季度报告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产品92120034自起息日以来，累计净值增长率为0.7770%，年化累计净值增长率为1.6114%。</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1.00777</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1.00777</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3,438,998.56</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36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10"/>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exact" w:val="1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兴业银行天天万汇通2020年第34期净值型理财私行专属2020年第四季度报告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存放同业20200624001S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3,409,658.62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99.15</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051011400100009654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兴业银行天天万汇通2020年第34期净值型理财产品</w:t>
                        </w:r>
                      </w:p>
                    </w:tc>
                  </w:tr>
                </w:tbl>
                <w:p>
                  <w:pPr>
                    <w:pStyle w:val="EMPTY_CELL_STYLE"/>
                  </w:pPr>
                </w:p>
              </w:tc>
            </w:tr>
          </w:tbl>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兴业银行天天万汇通2020年第34期净值型理财私行专属2020年第四季度报告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2021年1月22日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