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兴业银行天天万汇通2020年第37期净值型理财私行专属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兴业银行天天万汇通2020年第37期净值型理财私行专属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5,001,000.00份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产品92120037自起息日以来，累计净值增长率为0.4650%，年化累计净值增长率为1.2572%。</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1.00465</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1.00465</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5,024,232.15</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4,997,044.01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051011400100009923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兴业银行天天万汇通2020年第37期净值型理财产品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兴业银行天天万汇通2020年第37期净值型理财私行专属2020年第四季度报告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