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兴业银行天天万汇通2020年第40期净值型理财</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兴业银行天天万汇通2020年第40期净值型理财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8,859,600.00份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产品92120040自起息日以来，累计净值增长率为0.3850%，年化累计净值增长率为1.2220%。</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1.00385</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1.00385</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8,893,690.60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8,856,896.19</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051011400100010290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兴业银行天天万汇通2020年第40期净值型理财产品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