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兴业银行天天万汇通2020年第41期净值型理财私行专属</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兴业银行天天万汇通2020年第41期净值型理财私行专属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92120410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5,490,300.00份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产品92120410自起息日以来，累计净值增长率为0.3880%，年化累计净值增长率为1.2315%。</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1.00388</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1.00388</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5,511,601.45</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5,488,624.44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99.58</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051011400100010325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兴业银行天天万汇通2020年第41期净值型理财产品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