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兴业银行天天万汇通2020年第41期净值型理财私行专属2020年年度报告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兴业银行天天万汇通2020年第41期净值型理财私行专属</w:t>
              <w:br/>
              <w:t xml:space="preserve">2020年年度报告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报告送出日期：2021年5月14日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兴业银行天天万汇通2020年第41期净值型理财私行专属2020年年度报告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理财托管机构报告</w:t>
              <w:br/>
              <w:t xml:space="preserve">§ 七. 审计报告</w:t>
              <w:br/>
              <w:t xml:space="preserve">§ 八.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兴业银行天天万汇通2020年第41期净值型理财私行专属2020年年度报告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兴业银行天天万汇通2020年第41期净值型理财私行专属</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92120410</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C1030920000436</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封闭式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5,490,300.00份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1.21%</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美元</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R2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3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tbl>
      <w:tblPr>
        <w:tblLayout w:type="fixed"/>
      </w:tblPr>
      <w:tblGrid>
        <w:gridCol w:w="1"/>
        <w:gridCol w:w="20"/>
        <w:gridCol w:w="2580"/>
        <w:gridCol w:w="800"/>
        <w:gridCol w:w="1700"/>
        <w:gridCol w:w="300"/>
        <w:gridCol w:w="2000"/>
        <w:gridCol w:w="400"/>
        <w:gridCol w:w="2400"/>
        <w:gridCol w:w="400"/>
        <w:gridCol w:w="100"/>
        <w:gridCol w:w="2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10"/>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兴业银行天天万汇通2020年第41期净值型理财私行专属2020年年度报告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8"/>
            <w:tcMar>
              <w:top w:w="0" w:type="dxa"/>
              <w:left w:w="0" w:type="dxa"/>
              <w:bottom w:w="0" w:type="dxa"/>
              <w:right w:w="0" w:type="dxa"/>
            </w:tcMar>
            <w:vAlign w:val="center"/>
          </w:tcPr>
          <w:p>
            <w:pPr>
              <w:ind w:firstLine="0"/>
              <w:jc w:val="left"/>
              <w:spacing w:lineRule="exact" w:line="320" w:after="0" w:before="0"/>
            </w:pPr>
            <w:r>
              <w:rPr>
                <w:rFonts w:ascii="宋体" w:hAnsi="宋体" w:eastAsia="宋体" w:cs="宋体"/>
                <w:color w:val="000000"/>
                <w:sz w:val="21"/>
              </w:rPr>
              <w:t xml:space="preserve">产品92120410自起息日以来，累计净值增长率为0.3880%，年化累计净值增长率为1.2315%。</w:t>
              <w:br/>
              <w:t xml:space="preserve">报告期末，产品净值表现具体如下：</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估值日期</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产品份额净值</w:t>
            </w:r>
          </w:p>
        </w:tc>
        <w:tc>
          <w:tcPr>
            <w:gridSpan w:val="3"/>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产品累计净值 </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产品资产净值</w:t>
            </w: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2020年12月31日</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1.00388</w:t>
            </w:r>
          </w:p>
        </w:tc>
        <w:tc>
          <w:tcPr>
            <w:gridSpan w:val="3"/>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1.00388</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5,511,601.45</w:t>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2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杨漠女士，南开大学硕士。具有十年以上金融从业经验，2008年加入兴业银行，先后从事自营投资（固收交易、非标投资、外币债券投资）8年和资管投资（外币理财）4年。擅长跨市场套利、境外债信用价值挖掘，对境内外市场均有丰富的投资经验。</w:t>
            </w: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2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产品投向境内外币资产，以同业信用资产为主。产品风险较低，无期限错配。一季度资产收益率较高时，投资经理提前构建资产，后期利率下行客户仍可以获取较高的收益率。该款产品定位风险偏好厌恶型的美元币种投资者。</w:t>
            </w: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理财托管机构报告</w:t>
            </w: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00"/>
        </w:trPr>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left"/>
              <w:spacing w:lineRule="exact" w:line="320" w:after="0" w:before="0"/>
            </w:pPr>
            <w:r>
              <w:rPr>
                <w:rFonts w:ascii="宋体" w:hAnsi="宋体" w:eastAsia="宋体" w:cs="宋体"/>
                <w:color w:val="000000"/>
                <w:sz w:val="21"/>
              </w:rPr>
              <w:br/>
              <w:t xml:space="preserve">    报告期内，托管人严格遵守《商业银行理财业务监督管理办法》及相关法律法规规定、理财产品托管协议约定，诚实信用、谨慎勤勉地履行了托管人义务，不存在损害理财产品投资者利益的行为。</w:t>
              <w:br/>
              <w:t xml:space="preserve">    报告期内，托管人根据国家有关法律法规规定、理财产品托管协议的约定，对管理人在本理财产品的投资运作、资产净值的计算、收益的计算、理财产品费用开支等方面进行了必要的监督、复核和审查，未发现其存在任何损害本理财产品投资者利益的行为。</w:t>
              <w:br/>
              <w:t xml:space="preserve">    托管人认真复核了本报告中的净值表现、投资组合报告等内容，认为其真实、准确和完整，不存在虚假记载、误导性陈述或者重大遗漏。</w:t>
              <w:br/>
            </w:r>
          </w:p>
        </w:tc>
        <w:tc>
          <w:tcPr>
     </w:tcPr>
          <w:p>
            <w:pPr>
              <w:pStyle w:val="EMPTY_CELL_STYLE"/>
            </w:pPr>
          </w:p>
        </w:tc>
      </w:tr>
      <w:tr>
        <w:trPr>
          <w:trHeight w:hRule="exact" w:val="17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20"/>
        <w:gridCol w:w="3380"/>
        <w:gridCol w:w="2000"/>
        <w:gridCol w:w="2000"/>
        <w:gridCol w:w="3300"/>
        <w:gridCol w:w="2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兴业银行天天万汇通2020年第41期净值型理财私行专属2020年年度报告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七. 审计报告</w:t>
            </w: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1480"/>
        </w:trPr>
        <w:tc>
          <w:tcPr>
     </w:tcPr>
          <w:p>
            <w:pPr>
              <w:pStyle w:val="EMPTY_CELL_STYLE"/>
            </w:pPr>
          </w:p>
        </w:tc>
        <w:tc>
          <w:tcPr>
            <w:gridSpan w:val="5"/>
            <w:tcMar>
              <w:top w:w="0" w:type="dxa"/>
              <w:left w:w="0" w:type="dxa"/>
              <w:bottom w:w="0" w:type="dxa"/>
              <w:right w:w="0" w:type="dxa"/>
            </w:tcMar>
            <w:vAlign w:val="center"/>
          </w:tcPr>
          <w:p>
            <w:pPr>
              <w:ind/>
              <w:jc w:val="left"/>
              <w:spacing w:lineRule="exact" w:line="320" w:after="0" w:before="0"/>
            </w:pPr>
            <w:r>
              <w:rPr>
                <w:rFonts w:ascii="宋体" w:hAnsi="宋体" w:eastAsia="宋体" w:cs="宋体"/>
                <w:color w:val="000000"/>
                <w:sz w:val="21"/>
              </w:rPr>
              <w:br/>
              <w:t xml:space="preserve">    本产品聘请毕马威会计师事务所（特殊普通合伙）上海分所依据中国注册会计师审计准则对本产品的财务报表，包括2020年12月31日的资产负债表，自成立日至2020年12月31日止期间利润表和理财产品净值变动表以及相关财务报表附注进行了审计，并出具了审计报告。</w:t>
            </w: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八.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0"/>
        </w:trPr>
        <w:tc>
          <w:tcPr>
     </w:tcPr>
          <w:p>
            <w:pPr>
              <w:pStyle w:val="EMPTY_CELL_STYLE"/>
            </w:pPr>
          </w:p>
        </w:tc>
        <w:tc>
          <w:tcPr>
     </w:tcPr>
          <w:p>
            <w:pPr>
              <w:pStyle w:val="EMPTY_CELL_STYLE"/>
            </w:pPr>
          </w:p>
        </w:tc>
        <w:tc>
          <w:tcPr>
            <w:gridSpan w:val="5"/>
            <w:shd w:val="clear" w:color="auto" w:fill="FFFFFF"/>
            <w:tcMar>
              <w:top w:w="0" w:type="dxa"/>
              <w:left w:w="0" w:type="dxa"/>
              <w:bottom w:w="0" w:type="dxa"/>
              <w:right w:w="0" w:type="dxa"/>
            </w:tcMar>
          </w:tcPr>
          <w:tbl>
            <w:tblPr>
              <w:tblLayout w:type="fixed"/>
            </w:tblPr>
            <w:tblGrid>
              <w:gridCol w:w="1000"/>
              <w:gridCol w:w="2600"/>
              <w:gridCol w:w="4000"/>
              <w:gridCol w:w="31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bl>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无。</w:t>
            </w: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br/>
              <w:t xml:space="preserve">    为防范无法支付到期赎回款而产生的流动性风险，本理财产品管理人将合理安排所投资产期限，产品到期前完成所投资组合中相关资产变现，尽可能降低产品流动性风险，有效保障理财持有人利益。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c>
          <w:tcPr>
     </w:tcPr>
          <w:p>
            <w:pPr>
              <w:pStyle w:val="EMPTY_CELL_STYLE"/>
            </w:pPr>
          </w:p>
        </w:tc>
      </w:tr>
      <w:tr>
        <w:trPr>
          <w:trHeight w:hRule="exact" w:val="1240"/>
        </w:trPr>
        <w:tc>
          <w:tcPr>
     </w:tcPr>
          <w:p>
            <w:pPr>
              <w:pStyle w:val="EMPTY_CELL_STYLE"/>
            </w:pPr>
          </w:p>
        </w:tc>
        <w:tc>
          <w:tcPr>
            <w:gridSpan w:val="5"/>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存放同业202000901001S</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5,488,624.44</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99.58</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兴业银行天天万汇通2020年第41期净值型理财私行专属2020年年度报告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051011400100010325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兴业银行天天万汇通2020年第41期净值型理财产品</w:t>
                        </w:r>
                      </w:p>
                    </w:tc>
                  </w:tr>
                </w:tbl>
                <w:p>
                  <w:pPr>
                    <w:pStyle w:val="EMPTY_CELL_STYLE"/>
                  </w:pPr>
                </w:p>
              </w:tc>
            </w:tr>
          </w:tbl>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top"/>
          </w:tcPr>
          <w:p>
            <w:pPr>
              <w:ind/>
              <w:jc w:val="right"/>
            </w:pPr>
            <w:r>
              <w:rPr>
                <w:rFonts w:ascii="宋体" w:hAnsi="宋体" w:eastAsia="宋体" w:cs="宋体"/>
                <w:color w:val="000000"/>
                <w:sz w:val="21"/>
              </w:rPr>
              <w:t xml:space="preserve">2021年5月14日</w:t>
            </w:r>
          </w:p>
        </w:tc>
        <w:tc>
          <w:tcPr>
     </w:tcPr>
          <w:p>
            <w:pPr>
              <w:pStyle w:val="EMPTY_CELL_STYLE"/>
            </w:pPr>
          </w:p>
        </w:tc>
        <w:tc>
          <w:tcPr>
     </w:tcPr>
          <w:p>
            <w:pPr>
              <w:pStyle w:val="EMPTY_CELL_STYLE"/>
            </w:pPr>
          </w:p>
        </w:tc>
      </w:tr>
      <w:tr>
        <w:trPr>
          <w:trHeight w:hRule="exact" w:val="5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sectPr>
      <w:pgSz w:w="11900" w:h="16840" w:orient="portrait"/>
      <w:pgMar w:top="600" w:right="56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6.4.3</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