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14,067,188,231.89份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报告期内，本产品9B310006七日年化收益率均值3.0389%。同期业绩比较基准如下：</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2020-10-01至2020-12-31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0.7978</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3.0180%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14,067,188,231.89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闫思聪先生，澳大利亚新南威尔士大学硕士，CFA，FRM，CPA。2009年加入兴业银行总行，历任资金营运中心代客财富管理处产品经理、资产管理部产品研发处投资经理、产品研发处副处长，具备近10年的银行大型开放式理财产品投资组合管理及流动性管理经历，积累了丰富的产品管理经验。2018年起担任兴业银行“现金宝-添利1号”净值型理财产品投资经理；2019年起担任兴业银行“添利3号”净值型理财产品投资经理。</w:t>
              <w:br/>
              <w:t xml:space="preserve">    杨懿女士，北京大学理学、经济学双学士、金融硕士，2年固定收益投资交易经验。2017年加入兴业银行以来，从事理财产品投资组合管理工作，协助管理总规模逾千亿，善于大资金的资产配置和流动性管理。2019年起担任“兴业银行添利3号净值型理财产品”投资经理助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2020年四季度，国内经济进一步修复，经济增速大致回到疫情前水平，基本面向好、债市整体承压。11月初美国大选尘埃落定，风险偏好回升压制债市；11月10日的永煤违约事件进一步催化债券市场的走熊，信用利差迅速走阔并将恐慌情绪传导至利率市场，10年国债收益率一度突破3.35%，创下年内新高；直到11月21日周末的金融委会议定调恶意“逃废债”的处置力度，央行不断向市场送温暖呵护流动性之后，利率债超跌后企稳回落。但信用债的冲击余波还在持续，一级取消发行增加，煤炭、弱城投首当其冲，甚至引发了对明年信用收缩的担忧。12月央行持续净投放呵护跨年资金面，短端利率大幅回落，债市基本回到疫情前水平。</w:t>
              <w:br/>
              <w:t xml:space="preserve">    展望2021年，后疫情时代的经济修复和政策回归将是市场的主题，而经济恢复的速度和结构、政策退出的节奏与力度，会进一步影响债市的微观结构。宏观经济因强基数驱动，大概率呈现前高后低的趋势，当前债券市场已经处于一轮利率上行的尾部，市场对利率见顶已经有一致性预期，实体经济、通胀和社融高点相继出现的节奏错位，可能会进一步加剧债市波动。</w:t>
              <w:br/>
              <w:t xml:space="preserve">2、前期运作回顾</w:t>
              <w:br/>
              <w:t xml:space="preserve">    报告期内（2020.10.1-2020.12.31），本产品始终将保持流动性安全和防范信用风险作为第一要务，通过稳健的投资风格实现相对稳定的收益。在资产组合配置上，维持以高评级信用债为主，同时配置适量的利率债、同业存单等资产兼顾安全性、流动性和收益性。10-11月债券市场收益率震荡上行、信用利差和期限利差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阔，我们在综合考虑不同资产风险收益和流动性的基础上，择优配置中高评级信用债；同时在市场震荡上行之际积极把握利率债和同业存单的买入机会，在11月市场高点适当拉长久期、增大建仓量，进一步提升产品收益的竞争力。临近年末，我们以保证产品跨年流动性安全为首要任务，积极融入短期跨年资金，顺利跨年。</w:t>
              <w:br/>
              <w:t xml:space="preserve">3、后期投资策略</w:t>
              <w:br/>
              <w:t xml:space="preserve">    下阶段本产品依然会保持安全性和流动性优先、兼顾收益性的稳健投资策略，为客户创造稳定的收益回报。我们会深入研究分析宏观经济运行规律和利率走势，综合考量各投资品种的风险收益特征，并结合即将颁布的《关于规范现金管理类理财产品管理有关事项的通知》的相关要求，在此基础上自上而下地制定科学有效的投资策略。同时，持续关注市场情况，精准把握投资时点，在市场调整到位时择机而动，以持有到期的票息策略为主、杠杆策略为辅，提高组合静态收益；同时控制组合久期，在短久期、中高评级品种中挖掘投资机会，增厚产品收益。</w:t>
              <w:br/>
              <w:t xml:space="preserve">    具体来看，当前债券市场利率面临调整压力，投资策略上以中短久期、票息策略为主，在投资品种的选择上，综合考虑利率债、存单、存款及高等级信用债等品种的收益性和流动性，遴选优质投资标的。具体投资操作上，利率品种会适当关注市场过度调整时的波段建仓机会，信用债则以中高等级为主、严格规避信用风险。流动性管理方面，密切关注春节和一季度末两个关键时点，动态监测产品申购赎回数据，提前部署流动性安排，全力保证产品流动性安全。</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19长城债02BC(品种一)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20象屿股份SCP014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20沪国资SCP001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20上海农商银行CD140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20华融湘江银行CD140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14常熟发投MTN001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19天津轨交MTN004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17合建投MTN002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19华润MTN005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14吉高速MTN001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20铜陵建投SCP002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20上实SCP001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20川高速SCP004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14吉高速MTN002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18华发实业MTN001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