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兴业银行添利5号净值型理财产品</w:t>
              <w:br/>
              <w:t xml:space="preserve">2020年第三季度报告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报告送出日期：2020年10月28日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兴业银行添利5号净值型理财产品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9B319021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28,772,312,790.12份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风险收益特征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本产品具有基本无风险、高流动性的特征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2780"/>
        <w:gridCol w:w="600"/>
        <w:gridCol w:w="2000"/>
        <w:gridCol w:w="2000"/>
        <w:gridCol w:w="800"/>
        <w:gridCol w:w="2500"/>
        <w:gridCol w:w="20"/>
        <w:gridCol w:w="80"/>
        <w:gridCol w:w="6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兴业银行添利5号净值型理财产品2020年第三季度报告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pPr>
            <w:r>
              <w:rPr>
                <w:rFonts w:ascii="宋体" w:hAnsi="宋体" w:eastAsia="宋体" w:cs="宋体"/>
                <w:color w:val="000000"/>
                <w:sz w:val="21"/>
              </w:rPr>
              <w:t xml:space="preserve"> 报告期内，本产品七日年化收益率均值2.6494%，同期业绩比较基准如下：</w:t>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5600"/>
              <w:gridCol w:w="5100"/>
            </w:tblGrid>
            <w:tr>
              <w:trPr>
                <w:trHeight w:hRule="exact" w:val="600"/>
              </w:trPr>
              <w:tc>
                <w:tcPr>
                  <w:shd w:val="clear" w:color="auto" w:fill="B0B0B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5600"/>
                    <w:gridCol w:w="5600"/>
                  </w:tblGrid>
                  <w:tr>
                    <w:trPr>
                      <w:trHeight w:hRule="atLeast" w:val="560"/>
                    </w:trPr>
                    <w:tc>
                      <w:tcPr>
                        <w:shd w:val="clear" w:color="auto" w:fill="BFBFBF"/>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B0B0B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5100"/>
                    <w:gridCol w:w="5100"/>
                  </w:tblGrid>
                  <w:tr>
                    <w:trPr>
                      <w:trHeight w:hRule="atLeast" w:val="560"/>
                    </w:trPr>
                    <w:tc>
                      <w:tcPr>
                        <w:shd w:val="clear" w:color="auto" w:fill="BFBFBF"/>
                        <w:tcMar>
                          <w:top w:w="40" w:type="dxa"/>
                          <w:left w:w="40" w:type="dxa"/>
                          <w:bottom w:w="40" w:type="dxa"/>
                          <w:right w:w="4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5600"/>
                    <w:gridCol w:w="5600"/>
                  </w:tblGrid>
                  <w:tr>
                    <w:trPr>
                      <w:trHeight w:hRule="atLeast" w:val="560"/>
                    </w:trPr>
                    <w:tc>
                      <w:tcPr>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pPr>
                          <w:ind/>
                          <w:jc w:val="center"/>
                        </w:pPr>
                        <w:r>
                          <w:rPr>
                            <w:rFonts w:ascii="宋体" w:hAnsi="宋体" w:eastAsia="宋体" w:cs="宋体"/>
                            <w:color w:val="000000"/>
                            <w:sz w:val="21"/>
                          </w:rPr>
                          <w:t xml:space="preserve">2020年7月1日至2020年9月30日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5100"/>
                    <w:gridCol w:w="5100"/>
                  </w:tblGrid>
                  <w:tr>
                    <w:trPr>
                      <w:trHeight w:hRule="atLeast" w:val="560"/>
                    </w:trPr>
                    <w:tc>
                      <w:tcPr>
                        <w:tcMar>
                          <w:top w:w="40" w:type="dxa"/>
                          <w:left w:w="40" w:type="dxa"/>
                          <w:bottom w:w="40" w:type="dxa"/>
                          <w:right w:w="4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2020年9月30日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0.7820</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2.8980%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28,772,312,790.12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汪锦女士，上海财经大学经济学硕士，国际金融理财师（CFP），中级经济师职称。银行理财产品创设、投资从业11年。 2005年历任上海银行金融市场部代客资产管理处固定收益投资经理、任同业“利多系列”产品经理；2013年加入兴业银行资产管理部产品研发处，任同业“稳增1号”、“稳增2号”产品的投资经理。2016年起，负责总行资产管理部流动性管理，总规模逾万亿，擅长大资金的资产配置和流动性管理，尤其善于管理同业理财产品。2019年5月起担任“兴业银行添利五号净值型理财产品”投资经理。</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1、宏观经济及市场情况</w:t>
              <w:br/>
              <w:t xml:space="preserve">    今年8月以来，欧美新冠疫情出现二次爆发，多国确诊突破年初3-4月份峰值，海外经济复苏再显不确定性。而中国作为领跑全球经济增长的一枝独秀，各经济指标均有不俗表现。总体上呈现上半程出口、房地产稳步提升；下半程消费、制造业来接力的态势。出口方面，受防疫物资和“宅经济”商品及新型贸易业态支撑下，7、8月份出口增速上行。以人民币计价，8月出口同比增长11.6%，7月同比增长10.4%，1-8月同比增长0.80%由降转升，持续超预期。房地产销售上，6-8月同比增速持续放大，1-8月房地产销售额累计首次回正同比增长3%，销售面积累计跌幅也收窄至5%。土地成交上，8月推地和成交面积较7月继续明显下降，土地成交额环比下跌24%，各线城市都有20%左右跌幅，不过同比仍然大增31%，且土地溢价率仍在18%的高位。累计1-8月土地成交额同比增长15.4%，总体上土地市场热度仍比较高。8月PPI、PMI超预期，工业增加值较上月提高0.8%，社零增速已经转正。9月PMI为51.5%，连续7个月站上荣枯线。国内制造业投资同比回升幅度很大，社会消费品零售总额同比也开始正增长，这表明国内经济增长内生动能明显增强。随着疫情带来的不确定性持续弱化，前期额外的预防性储蓄将逐渐转化为消费力，推动消费的补偿性增长，消费的快速修复又会促进制造业投资的增长，进一步加强国内经济增长内生动能。   </w:t>
              <w:br/>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9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在此宏观经济背景下，今年三季度，央行货币政策操作中性偏紧，叠加政府债券集中发行和结构性存款压降，银行超储率持续低位。资金市场利率上行带动债券收益率在整个三季度震荡上行，其中，1年期国开债收益率上行66bp，3年期上行56bp，5年期上行53bp；信用债方面，1年期AAA短融收益率上行46bp，3年期AAA中票收益率上行55bp，5年期AAA中票收益率上行29bp。</w:t>
              <w:br/>
              <w:t xml:space="preserve">    展望四季度，预计宏观经济继续边际修复，国庆假期出游和消费数据加速修复预期，同时PMI数据较前值和预期均由所上升，经济基本面仍然对债市不利，然而市场对此也形成了一致预期，预计基本面因素不会造成债市的超预期调整。另外一方面四季度并没有多少利多债市的因素，信贷和社融大概率难有超预期的表现，短期内人民币汇率的升值和风险偏好的回暖可能会进一步压制债市，此外低超储率背景下资金面整体处于不稳定的状态，可能会进一步加剧债市波动。四季度债券市场面临较多的利空挑战，下阶段我们会持续关注市场情况择机而动，精准把握投资时点，以持有到期策略为主、交易策略为辅，提高组合静态收益；同时控制组合久期，在短久期、中高评级品种中挖掘投资机会，增厚产品收益。</w:t>
              <w:br/>
              <w:t xml:space="preserve">2、前期运作回顾</w:t>
              <w:br/>
              <w:t xml:space="preserve">    报告期内（2020.7.1-2020.9.30），受货币市场资金面偏紧、资产收益率出现较大幅度上行的影响，添利5号规模出现较大幅度下降。截止9月30日，产品规模跌至288亿元，三季度月日均380亿元。从七日年化收益率看，本产品收益区间维持在2.48%至2.99%之间。</w:t>
              <w:br/>
              <w:t xml:space="preserve">    资产端方面，考虑到负债规模短期仍有下滑的可能，报告期内新建资产规模（111亿）小于资产到期规模（81亿）。从收益水平上看，新建组合加权收益3.4%，品种覆盖存放同业、利率债、信用债和同业存单等。从主体评级看，AA+评级资产规模占比约为新建组合的26%，其余均为AAA及以上。</w:t>
              <w:br/>
              <w:t xml:space="preserve">3、后期投资策略</w:t>
              <w:br/>
              <w:t xml:space="preserve">    考虑到中国经济的稳步复苏、货币政策回归常态、市场风险偏好逐渐上升的背景下，对于同业类货币类产品而言，主要面临的风险或将还是负债不稳定的风险。</w:t>
              <w:br/>
              <w:t xml:space="preserve">    因此，一方面要降低资产构建的速度，规避收益、流动性性价比较低的债券和ABS；另一方面，为提前应对现金管理类理财产品新规落地，非标类资产只到期不新增、期限较长的债券仅增加高评级的公募债，以方便未来处置。</w:t>
              <w:br/>
              <w:t xml:space="preserve">此外，鉴于当前市场上利率债的整体调整幅度大于信用债，且同期限利率债收益率较同业存单也有优势（10月10日当日成交数据，6M非国开债和NCD利差约10-15bp），四季度，拟增加利率债的配置至整个组合占比的10%左右。这样，平时可以减少活期储备，提高组合收益，同时，也为年末的正回购提前做准备。</w:t>
              <w:br/>
              <w:t xml:space="preserve">    总之，我们将深入研究分析宏观经济运行规律和利率变化趋势，综合考量各投资品种的风险收益特征，在此基础上自上而下地制定科学有效的投资策略。</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货币市场基金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20CSFD36-02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20CSFD35-03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20CSFD40-03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存放同业20191030001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存放同业20200220001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同业借款20181108007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存放同业20200826001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498,200,000.00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18恒信租赁PPN003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19联发PPN003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18中广核租MTN001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20青岛黄岛SCP001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20东莞发展SCP001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20嘉兴城投SCP001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20津融投资SCP003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18芜湖建投PPN001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18首钢MTN002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19金川MTN001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20春秋航空(疫情防控债)SCP001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17建发地产PPN003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18建信租赁债01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18兴业租赁债03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20锡产业SCP002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20中兴通讯SCP002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20青岛海湾SCP002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18江北建设PPN002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20华发大湾ABN001优先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14吉高速MTN001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14吉高速MTN002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17冀交投MTN001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18福清国资MTN002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20海宁皮革SCP001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19蔷薇沐风ABN003优先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20华发大湾ABN005优先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16南宁城投MTN001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16宏泰国资MTN001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16南京高新MTN001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18海峡银行01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20天业SCP009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18建信租赁债03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18华夏租赁01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20象屿股份SCP006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20华发大湾ABN004优先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051010100100810699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兴业理财托管专户添利5号净值型理财产品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2020年10月28日</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