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兴业银行添利5号净值型理财产品</w:t>
              <w:br/>
              <w:t xml:space="preserve">2020年第四季度报告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兴业银行添利5号净值型理财产品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9B319021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20,660,043,412.74份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报告期内，本产品9B319021七日年化收益率均值2.8398%。同期业绩比较基准如下：</w:t>
            </w: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2020-10-01至2020-12-31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0.9131</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3.6610%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20,660,043,412.74</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汪锦女士，上海财经大学经济学硕士，国际金融理财师（CFP），中级经济师职称。银行理财产品创设、投资从业11年。 2005年历任上海银行金融市场部代客资产管理处固定收益投资经理、任同业“利多系列”产品经理；2013年加入兴业银行资产管理部产品研发处，任同业“稳增1号”、“稳增2号”产品的投资经理。2016年起，负责总行资产管理部流动性管理，总规模逾万亿，擅长大资金的资产配置和流动性管理，尤其善于管理同业理财产品。2019年5月起担任“兴业银行添利五号净值型理财产品”投资经理。</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1、宏观经济及市场情况</w:t>
              <w:br/>
              <w:t xml:space="preserve">    习主席说：“2020年极不平凡。”这句话同样适用在今年的债券市场上，用一波三折来概况今年的行情一点也不为过。在新冠疫情和经济修复的主线逻辑下，债市一年内经历深V走势，10年期国债利率在2020年末又神奇地回到了2019年末3.14%的位置。债市行情概括为如下几个阶段：</w:t>
              <w:br/>
              <w:t xml:space="preserve">    第一阶段为年初至4月下旬的牛市。新冠疫情爆发引致经济停滞担忧、全球范围内货币政策大放水。国内央行降息降准，利率快速下行，10年期国债收益率累计下行66bp（从3.14%至2.48%），突破了上一轮牛市的低点。</w:t>
              <w:br/>
              <w:t xml:space="preserve">    第二阶段为4月底至7月的快熊。疫情得到控制后，复工复产推进，经济实现深“V”修复。以货币政策回归常态化为触发，债市快速转熊，利率上行并且一度突破达到疫情前水平，10年期国债收益率累计上行42bp（从2.48%到2.86%）。</w:t>
              <w:br/>
              <w:t xml:space="preserve">    第三阶段为8月至12月中的震荡偏熊格局。债市由暴跌向阴跌切换，空头思维形成，但市场没有明确逻辑主线，10年期国债收益率震荡上行43bp（从2.86%到3.29%，截至2020.12.18）。</w:t>
              <w:br/>
              <w:t xml:space="preserve">    第四阶段为12月中至年末的震荡偏牛格局。随着12月18日中央经济工作会议定调宏观政策不急转弯开始，央行加大货币市场投放力度，天量MLF、OMO投放，使得市场对前期中性偏紧的货币政策有中性偏宽松预期，有机构已经开始启动明年1季度的抢跑行情。10年期国债收益率震荡下行15bp（从3.29%到3.14%）。</w:t>
              <w:br/>
              <w:t xml:space="preserve">2、前期运作回顾</w:t>
              <w:br/>
              <w:t xml:space="preserve">    报告期内（2020.10.1-2020.12.31），特别是临近12月，因同业客户监管指标、流动性、特殊时点等综合</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6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因素影响，添利5号规模出现大幅度下降。截止12月31日，产品规模跌至207亿元，四季度月日均324亿元，较三季度日均减少14.7%。由于规模下降较快，产品正回购比例迅速走高，截止年末时点，杠杆比例为152.3%。从七日年化收益率看，本产品收益区间维持在2.61%至3.66%之间。</w:t>
              <w:br/>
              <w:t xml:space="preserve">    资产端方面，考虑到产品在年末可能流动性紧张，故资产构建抢在10月和11月，特别是在永煤事件爆发以后，果断加大一级高评级债券的投标力度，增加一年期存放同业、1-3年利率债、同业存单和高收益债券。截止当前，这些资产都获得了不错的浮盈，提高了整个组合的收益。同时，在12月为缓解产品流动性，主动卖出静态较低的资产，为明年腾空间。整个四季度，添利5号新建资产规模103.55亿，组合收益3.54%；资产到期142亿元，加权收益2.89%。从资产品种看，存放同业22亿元，利率债7.5亿元，信用债30亿元，NCD44亿元。</w:t>
              <w:br/>
              <w:t xml:space="preserve">3、后期投资策略</w:t>
              <w:br/>
              <w:t xml:space="preserve">    展望一季度， 市场一致认为2021年全年GDP将呈现前高后低，社融增速在今年11月已达到高点，未来将冲高回落。需警惕信用扩张放缓带来的信用事件发生。此外，今年超预期的进出口数据，在明年全球疫情逐渐得到控制后，对国内经济增长的贡献将逐渐走弱，消费、制造业投资、将成为经济复苏的主力。而宏观经济政策“不急转弯”，不急是短期，转弯是中期，预示着后期经济增长的力度和长度都将趋缓。从货币政策来看，从12月开始央行大量公开市场的货币投放，1年期国股存单从3.3%左右的位置迅速下到2.9%-3%，DR001很长时间维持在1%以下，市场流动性虽不可能回到2020年4月极最宽松的时点，但年末的宽松也可以传达了央行近期维稳的态度。因此，债市收益率将回归到类似2019年上有顶、下有底的状态。</w:t>
              <w:br/>
              <w:t xml:space="preserve">    在这种背景下，流动性管理至关重要，既要保证产品能在流动性宽松的时候接受客户申购保证收益；又要抗住波动时产品赎回带来的被动斩仓是的损益。总的来说，在当前的宏观周期阶段，交易性机会大于趋势性机会。站在当下，10年期国债收益率又回到2019年末位置附近，利率债重回波动区间偏下的水平，中期仍存在不确定性。信用债收益率处于分化中，规避弱国企、弱城投，提防低评级债券信用利差走阔带来的估值风险。依然看好短久期、好资质的私募品种的债券。</w:t>
              <w:br/>
              <w:t xml:space="preserve">    总之，我们将深入研究分析宏观经济运行规律和利率变化趋势，综合考量各投资品种的风险收益特征，在此基础上自上而下地制定科学有效的投资策略。</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3200"/>
              <w:gridCol w:w="4000"/>
              <w:gridCol w:w="2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添利5号产品年末连续遭遇大额净赎回，为满足客户的流动性安排，产品未启动暂停赎回，导致12月末产品杠杆比例被动超过了140%。我司将在年初第十个工作日将产品杠杆率调整回140%以内。特此说明。</w:t>
            </w:r>
          </w:p>
        </w:tc>
        <w:tc>
          <w:tcPr>
     </w:tcPr>
          <w:p>
            <w:pPr>
              <w:pStyle w:val="EMPTY_CELL_STYLE"/>
            </w:pPr>
          </w:p>
        </w:tc>
        <w:tc>
          <w:tcPr>
     </w:tcPr>
          <w:p>
            <w:pPr>
              <w:pStyle w:val="EMPTY_CELL_STYLE"/>
            </w:pPr>
          </w:p>
        </w:tc>
      </w:tr>
      <w:tr>
        <w:trPr>
          <w:trHeight w:hRule="exact" w:val="1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Z存放同业20201028001（不可转让）</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建设银行（深圳分行）活期存款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存放同业20200220001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存放同业20200826001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20CSFD40-03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20农业银行CD093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20进出12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18广发02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同业借款20190125002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20浦发银行CD384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w:t>
                        </w:r>
                      </w:p>
                    </w:tc>
                  </w:tr>
                </w:tbl>
                <w:p>
                  <w:pPr>
                    <w:pStyle w:val="EMPTY_CELL_STYLE"/>
                  </w:pPr>
                </w:p>
              </w:tc>
            </w:tr>
          </w:tbl>
          <w:p>
            <w:pPr>
              <w:pStyle w:val="EMPTY_CELL_STYLE"/>
            </w:pPr>
          </w:p>
        </w:tc>
        <w:tc>
          <w:tcPr>
     </w:tcPr>
          <w:p>
            <w:pPr>
              <w:pStyle w:val="EMPTY_CELL_STYLE"/>
            </w:pPr>
          </w:p>
        </w:tc>
      </w:tr>
      <w:tr>
        <w:trPr>
          <w:trHeight w:hRule="exact" w:val="3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18恒信租赁PPN003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19联发PPN003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18万科MTN001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18中广核租MTN001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18福清国资MTN001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18川交投MTN002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20中交城投MTN001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20津融投资SCP003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20汉江国资SCP004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18芜湖建投PPN001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18首钢MTN002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19金川MTN001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18兴业租赁债03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兴业金融租赁有限责任公司、兴业银行股份有限公司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20杭金投SCP005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18赣国资MTN002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18建信租赁债01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20青岛海湾SCP002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20越秀租赁SCP006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18江北建设PPN002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19联发PPN001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19海通恒信PPN001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20徐州新盛PPN001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20溧阳城建PPN001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20宿州城投CP001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20华发大湾ABN001优先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14吉高速MTN001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14吉高速MTN002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16北部湾MTN002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18桂交投MTN001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18福清国资MTN002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20滨江房产MTN003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18兴业租赁债01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兴业金融租赁有限责任公司、兴业银行股份有限公司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20华发大湾ABN005优先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16宏泰国资MTN001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16南京高新MTN001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20盐城东方MTN001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18海峡银行01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20天业SCP009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18青岛城投PPN002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18川发展MTN001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20晋能MTN013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18建信租赁债03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18华夏租赁01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20华发大湾ABN004优先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20津能源MTN001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051010100100810699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兴业理财托管专户添利5号净值型理财产品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2021年1月22日</w:t>
            </w:r>
          </w:p>
        </w:tc>
        <w:tc>
          <w:tcPr>
     </w:tcPr>
          <w:p>
            <w:pPr>
              <w:pStyle w:val="EMPTY_CELL_STYLE"/>
            </w:pPr>
          </w:p>
        </w:tc>
        <w:tc>
          <w:tcPr>
     </w:tcPr>
          <w:p>
            <w:pPr>
              <w:pStyle w:val="EMPTY_CELL_STYLE"/>
            </w:pPr>
          </w:p>
        </w:tc>
      </w:tr>
      <w:tr>
        <w:trPr>
          <w:trHeight w:hRule="exact" w:val="7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