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2020年第三季度报告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报告送出日期：2020年10月28日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1,105,583,104.60份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风险收益特征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本产品具有中等风险、稳定性的特征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1600"/>
        <w:gridCol w:w="4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1"/>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1"/>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1"/>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pPr>
            <w:r>
              <w:rPr>
                <w:rFonts w:ascii="宋体" w:hAnsi="宋体" w:eastAsia="宋体" w:cs="宋体"/>
                <w:color w:val="000000"/>
                <w:sz w:val="21"/>
              </w:rPr>
              <w:t xml:space="preserve">产品自起息日以来，累计净值增长率为24.6920%，年化累计净值增长率为41.1533%。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
        </w:trPr>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21"/>
              </w:rP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4"/>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1.24692</w:t>
            </w:r>
          </w:p>
        </w:tc>
        <w:tc>
          <w:tcPr>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1.24692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1,378,578,727.56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1"/>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1"/>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1"/>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60"/>
        </w:trPr>
        <w:tc>
          <w:tcPr>
     </w:tcPr>
          <w:p>
            <w:pPr>
              <w:pStyle w:val="EMPTY_CELL_STYLE"/>
            </w:pPr>
          </w:p>
        </w:tc>
        <w:tc>
          <w:tcPr>
            <w:gridSpan w:val="11"/>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以来，7月市场先受资本市场改革预期影响而急速上涨，随后因外部环境的恶化，投资者情绪回落，叠加前期市场涨的过快过急、获利盘较重、科创板阶段性解禁压力等因素出现较大幅度调整。8月成交量萎缩，震荡幅度减小，市场风险偏好明显回落但情绪总体并不悲观，各指数在较高位盘整。9月受地缘政治风险压力、海外疫情二次爆发的冲击，北上资金大幅流出，叠加A股中报数据弱于预期的影响，市场结束8月的盘整势态，各指数回落明显，成交明显萎缩，市场风险偏好降低，各指数皆出现显著回撤。</w:t>
              <w:br/>
              <w:t xml:space="preserve">    展望未来，短期来看我国抗疫情形势非常稳定，在这样的基础下，往四季度看经济势头仍会持续向好，货币宽松政策上的调整以及防范短期资金过度流入的引导，都是为了推动一个更健康的A股市场的发展，市场短期或有波动，但拉长时间来看都不必太过紧张。长期而言，“科技+医药+消费”是未来中国最好赛道的判断不变。科技升级创新需要高端人力与长期的研发投入，中国勤奋且高效的工程师是产业升级的基础，我们发现工程师红利不光体现在中国的科技行业，在创新药/创新医疗器械、新能源、高端机械制造等产业链都能有明显优势。同时，产业升级亦将对中产阶级的收入带来长期的提升，人们追求更健康及更高质量的生活方式，叠加技术创新下的效率提升以及基础设施完备后的商业模式进化，都对国内大消费带来量价升级的机会。</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1"/>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1"/>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兴全合宜A（163417.OF）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46,912,285.92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中欧行业成长(166006.OF)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34,642,370.40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兴全趋势投资(163402.OF)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75,340,595.09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交银内核驱动 ( 008507.OF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45,463,560.89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易方达蓝筹精选（005827.OF）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25,984,012.63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泓德臻远回报（005395.OF）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28,756,885.84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泓德战略转型（001705.OF）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26,215,553.08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工银瑞信文体产业（001714.OF）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16,109,787.26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国富沪港深成长精选（001605.OF）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21,174,343.74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2020年10月28日</w:t>
            </w:r>
          </w:p>
        </w:tc>
        <w:tc>
          <w:tcPr>
     </w:tcPr>
          <w:p>
            <w:pPr>
              <w:pStyle w:val="EMPTY_CELL_STYLE"/>
            </w:pPr>
          </w:p>
        </w:tc>
        <w:tc>
          <w:tcPr>
     </w:tcPr>
          <w:p>
            <w:pPr>
              <w:pStyle w:val="EMPTY_CELL_STYLE"/>
            </w:pPr>
          </w:p>
        </w:tc>
      </w:tr>
      <w:tr>
        <w:trPr>
          <w:trHeight w:hRule="exact" w:val="3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