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536,744,263.97份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产品9K211010自起息日以来，累计净值增长率为1.4340%，年化累计净值增长率为3.3768%。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544,439,759.98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所管产品主要采用大类配置资产思路，主要通过非标和部分低波债券打底，剩余部分采用风险平价模型，按照产品期限和最大回撤对股债进行合理配比，具体而言，2年产品按照85%债券和15%股票，1年产品按照90%债券和10%股票，半年产品按照95%债券和5%股票。所有产品可通过利率衍生品进行套保以规避债券较大程度下跌，部分产品可采用更为灵活的衍生品交易策略以增强收益，这些策略包括利率衍生品跨品种套利、利率衍生品的跨期套利、股指衍生品的基差交易等。</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19大横琴MTN001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24,525,031.47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20浏城02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