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5,213,798,279.34份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产品9K212017自起息日以来，累计净值增长率为12.4670%，年化累计净值增长率为16.1364%。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1.12467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1.12467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5,863,818,047.89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399,912,203.69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175,130,472.85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20浦发银行CD160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29,772,951.00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汇添富绝对收益策略A（000762）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112,527,381.85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53,905,699.29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54,958,095.01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99,700,897.31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20闽轻纺(疫情防控债)SCP001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