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产品9K212018自起息日以来，累计净值增长率为3.1000%，年化累计净值增长率为4.2538%。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662,940,114.37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9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曾管理逾十只净值型“稳利”系列产品，过往业绩优异，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兴业大同煤矿2020年度第一期标准化票据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