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兴业银行天天万利宝稳利1号净值型理财产品K款</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兴业银行天天万利宝稳利1号净值型理财产品K款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4,621,848,494.99份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产品9K218010自投资周期开始日以来，累计净值增长率为3.7750%，年化累计净值增长率为3.9823%。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1.03775</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1.08137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4,796,300,770.06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学士，中山大学西方经济学硕士，具有6年金融行业工作经验，曾任职于广发银行总行资产管理部、广发证券证券投资业务管理总部，2019年加入兴业银行资产管理事业部，任固定收益投资部投资经理。投资经验丰富，操作风格稳健，擅长宏观基本面研究、利率债交易以及信用债套利挖掘。</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2020年度的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999,623,586.96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同业借款20190111002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499,300,978.63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上海银行大额存单20200313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18阜阳投资PPN001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20民生银行CD031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18中铁股MTN001A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20兴化D1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18宁开控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19信地01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18阜阳投资PPN001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18淮北建投MTN001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20新开元CP001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18厦门银行02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20温州交运(疫情防控债)SCP001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20中广核租SCP002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19甘交建MTN001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20兴发(疫情防控债)SCP002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19云建投MTN001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兴业银行天天万利宝稳利1号净值型理财产品K款2020年年度报告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兴业银行理财托管专户天天万利宝稳利1号K款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