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兴业银行天天万利宝稳利1号净值型理财产品C款2020年年度报告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兴业银行天天万利宝稳利1号净值型理财产品C款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兴业银行天天万利宝稳利1号净值型理财产品C款2020年年度报告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兴业银行天天万利宝稳利1号净值型理财产品C款2020年年度报告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兴业银行天天万利宝稳利1号净值型理财产品C款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4,398,195,315.64份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3.75%-4.25%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兴业银行天天万利宝稳利1号净值型理财产品C款2020年年度报告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产品9K218013自投资周期开始日以来，累计净值增长率为2.0860%，年化累计净值增长率为3.8454%。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1.02086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1.11529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4,489,949,191.24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自2019年加入兴业银行以来，在资产管理事业部从事理财工作，擅长宏观对冲和多beta组合管理，专注于固定收益投资，曾任广发银行金融市场部利率与衍生品交易员、组合管理投资经理，拥有3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兴业银行天天万利宝稳利1号净值型理财产品C款2020年年度报告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兴业银行天天万利宝稳利1号净值型理财产品C款2020年年度报告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Z沪-同业借款20201028001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20光大银行CD226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广发证券收益凭证收益宝1号（GISW8T）</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19国开14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上海银行大额存单20200313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20广新控股MTN002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20肥西建投PPN002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18锡交01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18天风C1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兴业银行天天万利宝稳利1号净值型理财产品C款2020年年度报告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20青岛海湾SCP002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19大同煤矿PPN008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19晋能PPN004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16渝保税港MTN001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051010100100597498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兴业银行理财托管专户天天万利宝稳利1号净值型理财C款</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兴业银行天天万利宝稳利1号净值型理财产品C款2020年年度报告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