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兴业银行天天万利宝稳利1号净值型理财产品D款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兴业银行天天万利宝稳利1号净值型理财产品D款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5,526,186,978.54份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产品9K218014自投资周期开始日以来，累计净值增长率为1.8540%，年化累计净值增长率为3.9806%。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1.11303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5,628,651,921.98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20CSFD123-02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京-同业借款20200914001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宁-同业借款20200911001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宁-同业借款20200723001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18东兴F1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皖-同业借款20200717002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20同股01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17中金C3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19太钢MTN001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兴业银行天天万利宝稳利1号净值型理财产品D款2020年年度报告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051010100100561585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