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天天万利宝稳利1号净值型理财产品G款2020年年度报告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天天万利宝稳利1号净值型理财产品G款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天天万利宝稳利1号净值型理财产品G款2020年年度报告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天天万利宝稳利1号净值型理财产品G款2020年年度报告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天天万利宝稳利1号净值型理财产品G款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8,367,160,858.19份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3.85%-4.35%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天天万利宝稳利1号净值型理财产品G款2020年年度报告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产品9K218017自投资周期开始日以来，累计净值增长率为0.8920%，年化累计净值增长率为3.9227%。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1.00892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1.09989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8,441,824,428.59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8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天天万利宝稳利1号净值型理财产品G款2020年年度报告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2020年度的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天天万利宝稳利1号净值型理财产品G款2020年年度报告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Z京-同业借款20201028003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Z京-同业借款20201028002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Z沪-同业借款20201123001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17工商银行二级01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上海银行大额存单20190929-04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Z津-同业借款20201028001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20渤海银行01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16赣高速PPN001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20长江05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天天万利宝稳利1号净值型理财产品G款2020年年度报告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2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15青岛国信PPN001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20泰华信PPN001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19太钢天津MTN001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18义乌国资GN001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20渤海银行小微债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20镇江交通CP002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16伊犁财通MTN002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18鸿商产业MTN002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16赣高速PPN001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20华靖资产PPN001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18扬子国资MTN001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18新水国资MTN001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19连云城建MTN002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18宁河西PPN001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19海兴PPN002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16渝保税港MTN001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天天万利宝稳利1号净值型理财产品G款2020年年度报告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Z沪-同业借款20201123001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051010100100564499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兴业银行理财托管专户天天万利宝稳利1号G款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