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天天万利宝稳利1号净值型理财产品I款2020年年度报告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天天万利宝稳利1号净值型理财产品I款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天天万利宝稳利1号净值型理财产品I款2020年年度报告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天天万利宝稳利1号净值型理财产品I款2020年年度报告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天天万利宝稳利1号净值型理财产品I款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6,061,753,917.61份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天天万利宝稳利1号净值型理财产品I款2020年年度报告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产品9K218019自投资周期开始日以来，累计净值增长率为0.3660%，年化累计净值增长率为4.4530%。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1.00366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1.09006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6,083,948,654.73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8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天天万利宝稳利1号净值型理财产品I款2020年年度报告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2020年度的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天天万利宝稳利1号净值型理财产品I款2020年年度报告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18建设银行二级02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498,107,192.67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18中信银行二级01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18浙商银行01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中原银行大额存单20200320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18中国银行二级02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20金港SCP004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天天万利宝稳利1号净值型理财产品I款2020年年度报告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18越秀集团MTN005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18东方债02BC(品种一)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18伊犁财通MTN002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18津保投MTN015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19东湖高新PPN001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051010100100721194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兴业银行理财托管专户天天万利宝稳利1号I款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