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兴业银行天天万利宝稳利5号净值型理财产品E款</w:t>
              <w:br/>
              <w:t xml:space="preserve">2020年第三季度报告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报告送出日期：2020年10月28日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兴业银行天天万利宝稳利5号净值型理财产品E款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C1030918001233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5,344,738,160.00份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风险收益特征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本产品具有低风险、高稳定性的特征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1600"/>
        <w:gridCol w:w="4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产品自起息日以来，累计净值增长率为6.2990%，年化累计净值增长率为5.3098%。</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
        </w:trPr>
        <w:tc>
          <w:tcPr>
     </w:tcPr>
          <w:p>
            <w:pPr>
              <w:pStyle w:val="EMPTY_CELL_STYLE"/>
            </w:pPr>
          </w:p>
        </w:tc>
        <w:tc>
          <w:tcPr>
            <w:gridSpan w:val="5"/>
            <w:tcMar>
              <w:top w:w="0" w:type="dxa"/>
              <w:left w:w="0" w:type="dxa"/>
              <w:bottom w:w="0" w:type="dxa"/>
              <w:right w:w="0" w:type="dxa"/>
            </w:tcMar>
            <w:vAlign w:val="top"/>
          </w:tcPr>
          <w:p>
            <w:pPr>
              <w:ind/>
            </w:pPr>
            <w:r>
              <w:rPr>
                <w:rFonts w:ascii="宋体" w:hAnsi="宋体" w:eastAsia="宋体" w:cs="宋体"/>
                <w:color w:val="000000"/>
                <w:sz w:val="21"/>
              </w:rP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4"/>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1.06299</w:t>
            </w:r>
          </w:p>
        </w:tc>
        <w:tc>
          <w:tcPr>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1.06299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5,681,399,076.50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w:t>
              <w:br/>
              <w:t xml:space="preserve">    2020年三季度，债券市场收益率整体大幅上行。各债券品种走势相似，期限方面5年期表现好于1-3年期信用债，评级方面低等级信用债表现好于高等级，品种方面信用债整体表现优于利率债，信用利差大幅压缩。</w:t>
              <w:br/>
              <w:t xml:space="preserve">    回顾三季度，债券市场走势主要分为三个阶段：第一阶段7月初至7月中旬，各项经济数据表明国内经济复苏强劲，股票市场大涨，股债跷跷板效应带动国内债券收益率大幅上行，10年国债收益率最高上行27bp至3.09%；第二阶段7月中旬至7月下旬，经过前期市场快速大幅下跌，绝对收益大幅抬升，需求方面机构配置的摊余成本法债基热销，叠加央行开展公开市场操作呵护流动性，市场预期央行态度有所缓和，债券收益率大幅下行，收复了7月上旬跌幅；第三阶段是8月至9月末，经济复苏进一步确认，利率债供给压力再度加大，市场承压，此外，央行重启14天逆回购引发市场对货币政策继续收紧的担忧，债市从暴跌转入阴跌，空头思维形成。</w:t>
              <w:br/>
              <w:t xml:space="preserve">    展望四季度，我们整体持中性态度，债券市场或将延续震荡偏弱的行情，关注结构性机会。</w:t>
              <w:br/>
              <w:t xml:space="preserve">基本面方面，9月高频数据显示国内经济仍处于快速恢复过程中，生产端和需求端全面回升，继续对债券市场形成压力，但需要关注修复斜率二阶导后续的边际速度；资金面方面，银行结构性存款压降目标尚未完成，同时四季度同业存单到期量较高，银行负债压力持续增加，资金面易紧难松；供给方面，四季度利率债供给压力仍然较大，规模预计较去年同期增加约1万亿，或对市场形成冲击；风险偏好方面，美国大选临近，最终结果或将影响市场风险偏好，四季度风险偏好是值得关注的一个要点。    </w:t>
              <w:br/>
              <w:t xml:space="preserve">    2、三季度运作回顾</w:t>
              <w:br/>
              <w:t xml:space="preserve">    2020年三季度，资金面波动加大，债券市场整体大幅上行。产品继续降低久期，维持适度杠杆率，并转向票息策略，控制久期的同时以绝对收益为主，提高静态收益率。</w:t>
              <w:br/>
              <w:t xml:space="preserve">    3、四季度投资策略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兴业银行天天万利宝稳利5号净值型理财产品E款2020年第三季度报告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中等评级城投债和地产债，同时也会比较各类资产的相对价值，把握品种利差、期限利差带来的套利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山东信托-天津悦府房地产开发有限公司（天津分行）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兴业银行天天万利宝稳利5号净值型理财产品E款2020年第三季度报告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18泰交通MTN001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19晋中01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18兖矿MTN003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15桂投资MTN001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18首创置业MTN002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18兖矿MTN003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兴业银行天天万利宝稳利5号净值型理财产品E款2020年第三季度报告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051010100100849068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兴业理财托管专户天天万利宝稳利5号E款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2020年10月28日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