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tiff" ContentType="image/tif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w:body>
    <w:tbl>
      <w:tblPr>
        <w:tblLayout w:type="fixed"/>
      </w:tblPr>
      <w:tblGrid>
        <w:gridCol w:w="1"/>
        <w:gridCol w:w="3020"/>
        <w:gridCol w:w="380"/>
        <w:gridCol w:w="2000"/>
        <w:gridCol w:w="2000"/>
        <w:gridCol w:w="2620"/>
        <w:gridCol w:w="680"/>
        <w:gridCol w:w="1"/>
      </w:tblGrid>
      <w:tr>
        <w:trPr>
          <w:trHeight w:hRule="exact" w:val="0"/>
        </w:trPr>
        <w:tc>
          <w:tcPr>
     </w:tcPr>
          <w:p>
            <w:pPr>
              <w:pStyle w:val="EMPTY_CELL_STYLE"/>
            </w:pPr>
            <w:bookmarkStart w:id="0" w:name="JR_PAGE_ANCHOR_0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6"/>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兴业银行天天万利宝稳利5号净值型理财产品E款2020年年度报告</w:t>
            </w: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9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3020"/>
        </w:trPr>
        <w:tc>
          <w:tcPr>
     </w:tcPr>
          <w:p>
            <w:pPr>
              <w:pStyle w:val="EMPTY_CELL_STYLE"/>
            </w:pPr>
          </w:p>
        </w:tc>
        <w:tc>
          <w:tcPr>
            <w:gridSpan w:val="6"/>
            <w:tcMar>
              <w:top w:w="0" w:type="dxa"/>
              <w:left w:w="0" w:type="dxa"/>
              <w:bottom w:w="0" w:type="dxa"/>
              <w:right w:w="0" w:type="dxa"/>
            </w:tcMar>
            <w:vAlign w:val="center"/>
          </w:tcPr>
          <w:p>
            <w:pPr>
              <w:ind/>
              <w:jc w:val="center"/>
              <w:spacing w:lineRule="auto" w:line="360" w:after="0" w:before="0"/>
            </w:pPr>
            <w:r>
              <w:rPr>
                <w:rFonts w:ascii="宋体" w:hAnsi="宋体" w:eastAsia="宋体" w:cs="宋体"/>
                <w:color w:val="000000"/>
                <w:sz w:val="32"/>
                <w:b w:val="true"/>
              </w:rPr>
              <w:t xml:space="preserve">兴业银行天天万利宝稳利5号净值型理财产品E款</w:t>
              <w:br/>
              <w:t xml:space="preserve">2020年年度报告</w:t>
            </w:r>
          </w:p>
        </w:tc>
        <w:tc>
          <w:tcPr>
     </w:tcPr>
          <w:p>
            <w:pPr>
              <w:pStyle w:val="EMPTY_CELL_STYLE"/>
            </w:pPr>
          </w:p>
        </w:tc>
      </w:tr>
      <w:tr>
        <w:trPr>
          <w:trHeight w:hRule="exact" w:val="6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500"/>
        </w:trPr>
        <w:tc>
          <w:tcPr>
     </w:tcPr>
          <w:p>
            <w:pPr>
              <w:pStyle w:val="EMPTY_CELL_STYLE"/>
            </w:pPr>
          </w:p>
        </w:tc>
        <w:tc>
          <w:tcPr>
     </w:tcPr>
          <w:p>
            <w:pPr>
              <w:pStyle w:val="EMPTY_CELL_STYLE"/>
            </w:pPr>
          </w:p>
        </w:tc>
        <w:tc>
          <w:tcPr>
            <w:gridSpan w:val="4"/>
            <w:tcMar>
              <w:top w:w="0" w:type="dxa"/>
              <w:left w:w="0" w:type="dxa"/>
              <w:bottom w:w="0" w:type="dxa"/>
              <w:right w:w="0" w:type="dxa"/>
            </w:tcMar>
            <w:vAlign w:val="center"/>
          </w:tcPr>
          <w:p>
            <w:pPr>
              <w:ind/>
              <w:jc w:val="left"/>
            </w:pPr>
            <w:r>
              <w:rPr>
                <w:rFonts w:ascii="宋体" w:hAnsi="宋体" w:eastAsia="宋体" w:cs="宋体"/>
                <w:color w:val="000000"/>
                <w:sz w:val="24"/>
              </w:rPr>
              <w:t xml:space="preserve">理财产品管理人：兴业银行股份有限公司</w:t>
            </w:r>
          </w:p>
        </w:tc>
        <w:tc>
          <w:tcPr>
     </w:tcPr>
          <w:p>
            <w:pPr>
              <w:pStyle w:val="EMPTY_CELL_STYLE"/>
            </w:pPr>
          </w:p>
        </w:tc>
        <w:tc>
          <w:tcPr>
     </w:tcPr>
          <w:p>
            <w:pPr>
              <w:pStyle w:val="EMPTY_CELL_STYLE"/>
            </w:pPr>
          </w:p>
        </w:tc>
      </w:tr>
      <w:tr>
        <w:trPr>
          <w:trHeight w:hRule="atLeast" w:val="500"/>
        </w:trPr>
        <w:tc>
          <w:tcPr>
     </w:tcPr>
          <w:p>
            <w:pPr>
              <w:pStyle w:val="EMPTY_CELL_STYLE"/>
            </w:pPr>
          </w:p>
        </w:tc>
        <w:tc>
          <w:tcPr>
     </w:tcPr>
          <w:p>
            <w:pPr>
              <w:pStyle w:val="EMPTY_CELL_STYLE"/>
            </w:pPr>
          </w:p>
        </w:tc>
        <w:tc>
          <w:tcPr>
            <w:gridSpan w:val="4"/>
            <w:tcMar>
              <w:top w:w="0" w:type="dxa"/>
              <w:left w:w="0" w:type="dxa"/>
              <w:bottom w:w="0" w:type="dxa"/>
              <w:right w:w="0" w:type="dxa"/>
            </w:tcMar>
            <w:vAlign w:val="center"/>
          </w:tcPr>
          <w:p>
            <w:pPr>
              <w:ind/>
              <w:jc w:val="left"/>
            </w:pPr>
            <w:r>
              <w:rPr>
                <w:rFonts w:ascii="宋体" w:hAnsi="宋体" w:eastAsia="宋体" w:cs="宋体"/>
                <w:color w:val="000000"/>
                <w:sz w:val="24"/>
              </w:rPr>
              <w:t xml:space="preserve">理财产品托管人：兴业银行股份有限公司</w:t>
            </w:r>
          </w:p>
        </w:tc>
        <w:tc>
          <w:tcPr>
     </w:tcPr>
          <w:p>
            <w:pPr>
              <w:pStyle w:val="EMPTY_CELL_STYLE"/>
            </w:pPr>
          </w:p>
        </w:tc>
        <w:tc>
          <w:tcPr>
     </w:tcPr>
          <w:p>
            <w:pPr>
              <w:pStyle w:val="EMPTY_CELL_STYLE"/>
            </w:pPr>
          </w:p>
        </w:tc>
      </w:tr>
      <w:tr>
        <w:trPr>
          <w:trHeight w:hRule="atLeast" w:val="500"/>
        </w:trPr>
        <w:tc>
          <w:tcPr>
     </w:tcPr>
          <w:p>
            <w:pPr>
              <w:pStyle w:val="EMPTY_CELL_STYLE"/>
            </w:pPr>
          </w:p>
        </w:tc>
        <w:tc>
          <w:tcPr>
     </w:tcPr>
          <w:p>
            <w:pPr>
              <w:pStyle w:val="EMPTY_CELL_STYLE"/>
            </w:pPr>
          </w:p>
        </w:tc>
        <w:tc>
          <w:tcPr>
            <w:gridSpan w:val="4"/>
            <w:tcMar>
              <w:top w:w="0" w:type="dxa"/>
              <w:left w:w="0" w:type="dxa"/>
              <w:bottom w:w="0" w:type="dxa"/>
              <w:right w:w="0" w:type="dxa"/>
            </w:tcMar>
            <w:vAlign w:val="center"/>
          </w:tcPr>
          <w:p>
            <w:pPr>
              <w:ind/>
              <w:jc w:val="left"/>
            </w:pPr>
            <w:r>
              <w:rPr>
                <w:rFonts w:ascii="宋体" w:hAnsi="宋体" w:eastAsia="宋体" w:cs="宋体"/>
                <w:color w:val="000000"/>
                <w:sz w:val="24"/>
              </w:rPr>
              <w:t xml:space="preserve">报告送出日期：2021年5月14日</w:t>
            </w:r>
          </w:p>
        </w:tc>
        <w:tc>
          <w:tcPr>
     </w:tcPr>
          <w:p>
            <w:pPr>
              <w:pStyle w:val="EMPTY_CELL_STYLE"/>
            </w:pPr>
          </w:p>
        </w:tc>
        <w:tc>
          <w:tcPr>
     </w:tcPr>
          <w:p>
            <w:pPr>
              <w:pStyle w:val="EMPTY_CELL_STYLE"/>
            </w:pPr>
          </w:p>
        </w:tc>
      </w:tr>
      <w:tr>
        <w:trPr>
          <w:trHeight w:hRule="exact" w:val="27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1/</w:t>
            </w:r>
          </w:p>
        </w:tc>
        <w:tc>
          <w:tcPr>
            <w:tcMar>
              <w:top w:w="0" w:type="dxa"/>
              <w:left w:w="0" w:type="dxa"/>
              <w:bottom w:w="0" w:type="dxa"/>
              <w:right w:w="0" w:type="dxa"/>
            </w:tcMar>
            <w:vAlign w:val="top"/>
          </w:tcPr>
          <w:p>
            <w:pPr>
              <w:ind/>
              <w:jc w:val="left"/>
            </w:pPr>
            <w:r>
              <w:rPr>
                <w:rFonts w:ascii="SansSerif" w:hAnsi="SansSerif" w:eastAsia="SansSerif" w:cs="SansSerif"/>
                <w:color w:val="000000"/>
                <w:sz w:val="18"/>
              </w:rPr>
              <w:t xml:space="preserve">8</w:t>
            </w:r>
          </w:p>
        </w:tc>
        <w:tc>
          <w:tcPr>
     </w:tcPr>
          <w:p>
            <w:pPr>
              <w:pStyle w:val="EMPTY_CELL_STYLE"/>
            </w:pPr>
          </w:p>
        </w:tc>
        <w:tc>
          <w:tcPr>
     </w:tcPr>
          <w:p>
            <w:pPr>
              <w:pStyle w:val="EMPTY_CELL_STYLE"/>
            </w:pPr>
          </w:p>
        </w:tc>
        <w:tc>
          <w:tcPr>
     </w:tcPr>
          <w:p>
            <w:pPr>
              <w:pStyle w:val="EMPTY_CELL_STYLE"/>
            </w:pPr>
          </w:p>
        </w:tc>
      </w:tr>
    </w:tbl>
    <w:tbl>
      <w:tblPr>
        <w:tblLayout w:type="fixed"/>
      </w:tblPr>
      <w:tblGrid>
        <w:gridCol w:w="1"/>
        <w:gridCol w:w="100"/>
        <w:gridCol w:w="3300"/>
        <w:gridCol w:w="1000"/>
        <w:gridCol w:w="1000"/>
        <w:gridCol w:w="1000"/>
        <w:gridCol w:w="1000"/>
        <w:gridCol w:w="3100"/>
        <w:gridCol w:w="200"/>
        <w:gridCol w:w="1"/>
      </w:tblGrid>
      <w:tr>
        <w:trPr>
          <w:trHeight w:hRule="exact" w:val="0"/>
        </w:trPr>
        <w:tc>
          <w:tcPr>
     </w:tcPr>
          <w:p>
            <w:pPr>
              <w:pStyle w:val="EMPTY_CELL_STYLE"/>
              <w:pageBreakBefore/>
            </w:pPr>
            <w:bookmarkStart w:id="1" w:name="JR_PAGE_ANCHOR_0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8"/>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兴业银行天天万利宝稳利5号净值型理财产品E款2020年年度报告</w:t>
            </w: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8"/>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宋体" w:hAnsi="宋体" w:eastAsia="宋体" w:cs="宋体"/>
                <w:color w:val="000000"/>
                <w:sz w:val="30"/>
                <w:b w:val="true"/>
              </w:rPr>
              <w:t xml:space="preserve">目  录</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840"/>
        </w:trPr>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jc w:val="left"/>
              <w:spacing w:lineRule="auto" w:line="336" w:after="0" w:before="0"/>
            </w:pPr>
            <w:r>
              <w:rPr>
                <w:rFonts w:ascii="宋体" w:hAnsi="宋体" w:eastAsia="宋体" w:cs="宋体"/>
                <w:color w:val="000000"/>
                <w:sz w:val="21"/>
              </w:rPr>
              <w:t xml:space="preserve">§ 一. 重要提示</w:t>
              <w:br/>
              <w:t xml:space="preserve">§ 二. 产品基本信息</w:t>
              <w:br/>
              <w:t xml:space="preserve">§ 三. 产品收益表现</w:t>
              <w:br/>
              <w:t xml:space="preserve">§ 四. 产品投资经理简介</w:t>
              <w:br/>
              <w:t xml:space="preserve">§ 五. 报告期内产品投资策略</w:t>
              <w:br/>
              <w:t xml:space="preserve">§ 六. 理财托管机构报告</w:t>
              <w:br/>
              <w:t xml:space="preserve">§ 七. 审计报告</w:t>
              <w:br/>
              <w:t xml:space="preserve">§ 八. 投资组合情况</w:t>
              <w:br/>
              <w:t xml:space="preserve">     1. 报告期末资产组合情况</w:t>
              <w:br/>
              <w:t xml:space="preserve">     2. 报告期末杠杆融资情况</w:t>
              <w:br/>
              <w:t xml:space="preserve">     3. 投资组合的流动性风险分析</w:t>
              <w:br/>
              <w:t xml:space="preserve">     4. 报告期末资产持仓前十基本信息</w:t>
              <w:br/>
              <w:t xml:space="preserve">     5. 报告期间关联交易情况</w:t>
              <w:br/>
              <w:t xml:space="preserve">     6. 投资账户信息</w:t>
            </w:r>
          </w:p>
        </w:tc>
        <w:tc>
          <w:tcPr>
     </w:tcPr>
          <w:p>
            <w:pPr>
              <w:pStyle w:val="EMPTY_CELL_STYLE"/>
            </w:pPr>
          </w:p>
        </w:tc>
        <w:tc>
          <w:tcPr>
     </w:tcPr>
          <w:p>
            <w:pPr>
              <w:pStyle w:val="EMPTY_CELL_STYLE"/>
            </w:pPr>
          </w:p>
        </w:tc>
      </w:tr>
      <w:tr>
        <w:trPr>
          <w:trHeight w:hRule="exact" w:val="60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2/</w:t>
            </w:r>
          </w:p>
        </w:tc>
        <w:tc>
          <w:tcPr>
            <w:gridSpan w:val="2"/>
            <w:tcMar>
              <w:top w:w="0" w:type="dxa"/>
              <w:left w:w="0" w:type="dxa"/>
              <w:bottom w:w="0" w:type="dxa"/>
              <w:right w:w="0" w:type="dxa"/>
            </w:tcMar>
            <w:vAlign w:val="top"/>
          </w:tcPr>
          <w:p>
            <w:pPr>
              <w:ind/>
              <w:jc w:val="left"/>
            </w:pPr>
            <w:r>
              <w:rPr>
                <w:rFonts w:ascii="SansSerif" w:hAnsi="SansSerif" w:eastAsia="SansSerif" w:cs="SansSerif"/>
                <w:color w:val="000000"/>
                <w:sz w:val="18"/>
              </w:rPr>
              <w:t xml:space="preserve">8</w:t>
            </w:r>
          </w:p>
        </w:tc>
        <w:tc>
          <w:tcPr>
     </w:tcPr>
          <w:p>
            <w:pPr>
              <w:pStyle w:val="EMPTY_CELL_STYLE"/>
            </w:pPr>
          </w:p>
        </w:tc>
        <w:tc>
          <w:tcPr>
     </w:tcPr>
          <w:p>
            <w:pPr>
              <w:pStyle w:val="EMPTY_CELL_STYLE"/>
            </w:pPr>
          </w:p>
        </w:tc>
        <w:tc>
          <w:tcPr>
     </w:tcPr>
          <w:p>
            <w:pPr>
              <w:pStyle w:val="EMPTY_CELL_STYLE"/>
            </w:pPr>
          </w:p>
        </w:tc>
      </w:tr>
    </w:tbl>
    <w:tbl>
      <w:tblPr>
        <w:tblLayout w:type="fixed"/>
      </w:tblPr>
      <w:tblGrid>
        <w:gridCol w:w="1"/>
        <w:gridCol w:w="3400"/>
        <w:gridCol w:w="740"/>
        <w:gridCol w:w="1260"/>
        <w:gridCol w:w="2000"/>
        <w:gridCol w:w="3300"/>
        <w:gridCol w:w="1"/>
      </w:tblGrid>
      <w:tr>
        <w:trPr>
          <w:trHeight w:hRule="exact" w:val="0"/>
        </w:trPr>
        <w:tc>
          <w:tcPr>
     </w:tcPr>
          <w:p>
            <w:pPr>
              <w:pStyle w:val="EMPTY_CELL_STYLE"/>
              <w:pageBreakBefore/>
            </w:pPr>
            <w:bookmarkStart w:id="2" w:name="JR_PAGE_ANCHOR_0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5"/>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兴业银行天天万利宝稳利5号净值型理财产品E款2020年年度报告</w:t>
            </w: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5"/>
            <w:tcMar>
              <w:top w:w="0" w:type="dxa"/>
              <w:left w:w="0" w:type="dxa"/>
              <w:bottom w:w="0" w:type="dxa"/>
              <w:right w:w="0" w:type="dxa"/>
            </w:tcMar>
            <w:vAlign w:val="center"/>
          </w:tcPr>
          <w:p>
            <w:pPr>
              <w:ind/>
              <w:jc w:val="center"/>
            </w:pPr>
            <w:r>
              <w:rPr>
                <w:rFonts w:ascii="宋体" w:hAnsi="宋体" w:eastAsia="宋体" w:cs="宋体"/>
                <w:color w:val="000000"/>
                <w:sz w:val="24"/>
                <w:b w:val="true"/>
              </w:rPr>
              <w:t xml:space="preserve">§ 一. 重要提示</w:t>
            </w: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3080"/>
        </w:trPr>
        <w:tc>
          <w:tcPr>
     </w:tcPr>
          <w:p>
            <w:pPr>
              <w:pStyle w:val="EMPTY_CELL_STYLE"/>
            </w:pPr>
          </w:p>
        </w:tc>
        <w:tc>
          <w:tcPr>
            <w:gridSpan w:val="5"/>
            <w:tcBorders>
              <w:top w:val="dotted" w:sz="8" w:space="0" w:color="000000"/>
              <w:left w:val="dotted" w:sz="8" w:space="0" w:color="000000"/>
              <w:bottom w:val="dotted" w:sz="8" w:space="0" w:color="000000"/>
              <w:right w:val="dotted" w:sz="8" w:space="0" w:color="000000"/>
            </w:tcBorders>
            <w:tcMar>
              <w:top w:w="0" w:type="dxa"/>
              <w:left w:w="0" w:type="dxa"/>
              <w:bottom w:w="0" w:type="dxa"/>
              <w:right w:w="0" w:type="dxa"/>
            </w:tcMar>
            <w:vAlign w:val="top"/>
          </w:tcPr>
          <w:p>
            <w:pPr>
              <w:ind/>
              <w:jc w:val="left"/>
              <w:spacing w:lineRule="auto" w:line="360" w:after="0" w:before="0"/>
            </w:pPr>
            <w:r>
              <w:rPr>
                <w:rFonts w:ascii="仿宋" w:hAnsi="仿宋" w:eastAsia="仿宋" w:cs="仿宋"/>
                <w:color w:val="000000"/>
                <w:sz w:val="21"/>
              </w:rPr>
              <w:br/>
              <w:t xml:space="preserve"> 1. 温馨提醒：理财非存款，产品有风险，投资需谨慎！</w:t>
              <w:br/>
              <w:t xml:space="preserve"> 2. 理财信息可供参考，详情请咨询理财经理，或在“中国理财网（www.chinawealth.com.cn）”查询该产品相关信息。</w:t>
              <w:br/>
              <w:t xml:space="preserve"> 3. 兴业银行股份有限公司保留对所有文字说明的最终解释权。</w:t>
              <w:br/>
              <w:t xml:space="preserve"> 4. 投资组合情况（期末资产组合情况、杠杆比例、资产前十持仓等）详情请理财持有人登录网银后进行查询。</w:t>
              <w:br/>
            </w:r>
          </w:p>
        </w:tc>
        <w:tc>
          <w:tcPr>
     </w:tcPr>
          <w:p>
            <w:pPr>
              <w:pStyle w:val="EMPTY_CELL_STYLE"/>
            </w:pPr>
          </w:p>
        </w:tc>
      </w:tr>
      <w:tr>
        <w:trPr>
          <w:trHeight w:hRule="exact" w:val="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5"/>
            <w:tcMar>
              <w:top w:w="0" w:type="dxa"/>
              <w:left w:w="0" w:type="dxa"/>
              <w:bottom w:w="0" w:type="dxa"/>
              <w:right w:w="0" w:type="dxa"/>
            </w:tcMar>
            <w:vAlign w:val="center"/>
          </w:tcPr>
          <w:p>
            <w:pPr>
              <w:ind/>
              <w:jc w:val="center"/>
            </w:pPr>
            <w:r>
              <w:rPr>
                <w:rFonts w:ascii="宋体" w:hAnsi="宋体" w:eastAsia="宋体" w:cs="宋体"/>
                <w:color w:val="000000"/>
                <w:sz w:val="24"/>
                <w:b w:val="true"/>
              </w:rPr>
              <w:t xml:space="preserve">§ 二. 产品基本情况</w:t>
            </w: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产品名称</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spacing w:lineRule="auto" w:line="240" w:after="0" w:before="0"/>
            </w:pPr>
            <w:r>
              <w:rPr>
                <w:rFonts w:ascii="宋体" w:hAnsi="宋体" w:eastAsia="宋体" w:cs="宋体"/>
                <w:color w:val="000000"/>
                <w:sz w:val="21"/>
              </w:rPr>
              <w:t xml:space="preserve">兴业银行天天万利宝稳利5号净值型理财产品E款</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产品代码</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9K218055</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全国银行业理财信息登记系统登记编码</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C1030918001233</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产品运作方式</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封闭式</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产品募集方式</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公募</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报告期末产品份额总额</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5,344,738,160.00份</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业绩比较基准</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5.30%-5.50%</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投资币种</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人民币</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风险等级</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R2</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产品管理人</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兴业银行股份有限公司</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产品托管人</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spacing w:lineRule="auto" w:line="240" w:after="0" w:before="0"/>
            </w:pPr>
            <w:r>
              <w:rPr>
                <w:rFonts w:ascii="宋体" w:hAnsi="宋体" w:eastAsia="宋体" w:cs="宋体"/>
                <w:color w:val="000000"/>
                <w:sz w:val="21"/>
              </w:rPr>
              <w:t xml:space="preserve">兴业银行股份有限公司</w:t>
            </w:r>
          </w:p>
        </w:tc>
        <w:tc>
          <w:tcPr>
     </w:tcPr>
          <w:p>
            <w:pPr>
              <w:pStyle w:val="EMPTY_CELL_STYLE"/>
            </w:pPr>
          </w:p>
        </w:tc>
      </w:tr>
      <w:tr>
        <w:trPr>
          <w:trHeight w:hRule="exact" w:val="3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3/</w:t>
            </w:r>
          </w:p>
        </w:tc>
        <w:tc>
          <w:tcPr>
            <w:tcMar>
              <w:top w:w="0" w:type="dxa"/>
              <w:left w:w="0" w:type="dxa"/>
              <w:bottom w:w="0" w:type="dxa"/>
              <w:right w:w="0" w:type="dxa"/>
            </w:tcMar>
            <w:vAlign w:val="top"/>
          </w:tcPr>
          <w:p>
            <w:pPr>
              <w:ind/>
              <w:jc w:val="left"/>
            </w:pPr>
            <w:r>
              <w:rPr>
                <w:rFonts w:ascii="SansSerif" w:hAnsi="SansSerif" w:eastAsia="SansSerif" w:cs="SansSerif"/>
                <w:color w:val="000000"/>
                <w:sz w:val="18"/>
              </w:rPr>
              <w:t xml:space="preserve">8</w:t>
            </w:r>
          </w:p>
        </w:tc>
        <w:tc>
          <w:tcPr>
     </w:tcPr>
          <w:p>
            <w:pPr>
              <w:pStyle w:val="EMPTY_CELL_STYLE"/>
            </w:pPr>
          </w:p>
        </w:tc>
        <w:tc>
          <w:tcPr>
     </w:tcPr>
          <w:p>
            <w:pPr>
              <w:pStyle w:val="EMPTY_CELL_STYLE"/>
            </w:pPr>
          </w:p>
        </w:tc>
      </w:tr>
    </w:tbl>
    <w:tbl>
      <w:tblPr>
        <w:tblLayout w:type="fixed"/>
      </w:tblPr>
      <w:tblGrid>
        <w:gridCol w:w="1"/>
        <w:gridCol w:w="2600"/>
        <w:gridCol w:w="800"/>
        <w:gridCol w:w="1700"/>
        <w:gridCol w:w="300"/>
        <w:gridCol w:w="2000"/>
        <w:gridCol w:w="400"/>
        <w:gridCol w:w="2400"/>
        <w:gridCol w:w="400"/>
        <w:gridCol w:w="100"/>
        <w:gridCol w:w="1"/>
      </w:tblGrid>
      <w:tr>
        <w:trPr>
          <w:trHeight w:hRule="exact" w:val="0"/>
        </w:trPr>
        <w:tc>
          <w:tcPr>
     </w:tcPr>
          <w:p>
            <w:pPr>
              <w:pStyle w:val="EMPTY_CELL_STYLE"/>
              <w:pageBreakBefore/>
            </w:pPr>
            <w:bookmarkStart w:id="3" w:name="JR_PAGE_ANCHOR_0_4"/>
            <w:bookmarkEnd w:id="3"/>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9"/>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兴业银行天天万利宝稳利5号净值型理财产品E款2020年年度报告</w:t>
            </w: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9"/>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9"/>
            <w:tcMar>
              <w:top w:w="0" w:type="dxa"/>
              <w:left w:w="0" w:type="dxa"/>
              <w:bottom w:w="0" w:type="dxa"/>
              <w:right w:w="0" w:type="dxa"/>
            </w:tcMar>
            <w:vAlign w:val="center"/>
          </w:tcPr>
          <w:p>
            <w:pPr>
              <w:ind/>
              <w:jc w:val="center"/>
            </w:pPr>
            <w:r>
              <w:rPr>
                <w:rFonts w:ascii="宋体" w:hAnsi="宋体" w:eastAsia="宋体" w:cs="宋体"/>
                <w:color w:val="000000"/>
                <w:sz w:val="24"/>
                <w:b w:val="true"/>
              </w:rPr>
              <w:t xml:space="preserve">§ 三. 产品收益表现</w:t>
            </w: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7"/>
            <w:tcMar>
              <w:top w:w="0" w:type="dxa"/>
              <w:left w:w="0" w:type="dxa"/>
              <w:bottom w:w="0" w:type="dxa"/>
              <w:right w:w="0" w:type="dxa"/>
            </w:tcMar>
            <w:vAlign w:val="center"/>
          </w:tcPr>
          <w:p>
            <w:pPr>
              <w:ind w:firstLine="0"/>
              <w:jc w:val="left"/>
              <w:spacing w:lineRule="exact" w:line="320" w:after="0" w:before="0"/>
            </w:pPr>
            <w:r>
              <w:rPr>
                <w:rFonts w:ascii="宋体" w:hAnsi="宋体" w:eastAsia="宋体" w:cs="宋体"/>
                <w:color w:val="000000"/>
                <w:sz w:val="21"/>
              </w:rPr>
              <w:t xml:space="preserve">产品9K218055自起息日以来，累计净值增长率为7.5600%，年化累计净值增长率为5.2560%。</w:t>
              <w:br/>
              <w:t xml:space="preserve">报告期末，产品净值表现具体如下：</w:t>
            </w: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shd w:val="clear" w:color="auto" w:fill="BFBFBF"/>
            <w:tcBorders>
              <w:top w:val="single" w:sz="8" w:space="0" w:color="080101"/>
              <w:left w:val="single" w:sz="8" w:space="0" w:color="080101"/>
              <w:bottom w:val="single" w:sz="8" w:space="0" w:color="080101"/>
              <w:right w:val="single" w:sz="8" w:space="0" w:color="080101"/>
            </w:tcBorders>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估值日期</w:t>
            </w:r>
          </w:p>
        </w:tc>
        <w:tc>
          <w:tcPr>
            <w:gridSpan w:val="2"/>
            <w:shd w:val="clear" w:color="auto" w:fill="BFBFBF"/>
            <w:tcBorders>
              <w:top w:val="single" w:sz="8" w:space="0" w:color="080101"/>
              <w:left w:val="single" w:sz="8" w:space="0" w:color="080101"/>
              <w:bottom w:val="single" w:sz="8" w:space="0" w:color="080101"/>
              <w:right w:val="single" w:sz="8" w:space="0" w:color="080101"/>
            </w:tcBorders>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产品份额净值</w:t>
            </w:r>
          </w:p>
        </w:tc>
        <w:tc>
          <w:tcPr>
            <w:gridSpan w:val="3"/>
            <w:shd w:val="clear" w:color="auto" w:fill="BFBFBF"/>
            <w:tcBorders>
              <w:top w:val="single" w:sz="8" w:space="0" w:color="080101"/>
              <w:left w:val="single" w:sz="8" w:space="0" w:color="080101"/>
              <w:bottom w:val="single" w:sz="8" w:space="0" w:color="080101"/>
              <w:right w:val="single" w:sz="8" w:space="0" w:color="080101"/>
            </w:tcBorders>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产品累计净值 </w:t>
            </w:r>
          </w:p>
        </w:tc>
        <w:tc>
          <w:tcPr>
            <w:gridSpan w:val="2"/>
            <w:shd w:val="clear" w:color="auto" w:fill="BFBFBF"/>
            <w:tcBorders>
              <w:top w:val="single" w:sz="8" w:space="0" w:color="080101"/>
              <w:left w:val="single" w:sz="8" w:space="0" w:color="080101"/>
              <w:bottom w:val="single" w:sz="8" w:space="0" w:color="080101"/>
              <w:right w:val="single" w:sz="8" w:space="0" w:color="080101"/>
            </w:tcBorders>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产品资产净值</w:t>
            </w:r>
          </w:p>
        </w:tc>
        <w:tc>
          <w:tcPr>
     </w:tcPr>
          <w:p>
            <w:pPr>
              <w:pStyle w:val="EMPTY_CELL_STYLE"/>
            </w:pPr>
          </w:p>
        </w:tc>
        <w:tc>
          <w:tcPr>
     </w:tcPr>
          <w:p>
            <w:pPr>
              <w:pStyle w:val="EMPTY_CELL_STYLE"/>
            </w:pPr>
          </w:p>
        </w:tc>
      </w:tr>
      <w:tr>
        <w:trPr>
          <w:trHeight w:hRule="atLeast" w:val="600"/>
        </w:trPr>
        <w:tc>
          <w:tcPr>
     </w:tcPr>
          <w:p>
            <w:pPr>
              <w:pStyle w:val="EMPTY_CELL_STYLE"/>
            </w:pPr>
          </w:p>
        </w:tc>
        <w:tc>
          <w:tcPr>
            <w:tcBorders>
              <w:top w:val="single" w:sz="8" w:space="0" w:color="080101"/>
              <w:left w:val="single" w:sz="8" w:space="0" w:color="080101"/>
              <w:bottom w:val="single" w:sz="8" w:space="0" w:color="080101"/>
              <w:right w:val="single" w:sz="8" w:space="0" w:color="080101"/>
            </w:tcBorders>
            <w:tcMar>
              <w:top w:w="0" w:type="dxa"/>
              <w:left w:w="0" w:type="dxa"/>
              <w:bottom w:w="0" w:type="dxa"/>
              <w:right w:w="0" w:type="dxa"/>
            </w:tcMar>
            <w:vAlign w:val="center"/>
          </w:tcPr>
          <w:p>
            <w:pPr>
              <w:ind/>
              <w:jc w:val="center"/>
            </w:pPr>
            <w:r>
              <w:rPr>
                <w:rFonts w:ascii="宋体" w:hAnsi="宋体" w:eastAsia="宋体" w:cs="宋体"/>
                <w:color w:val="000000"/>
                <w:sz w:val="21"/>
              </w:rPr>
              <w:t xml:space="preserve">2020年12月31日</w:t>
            </w:r>
          </w:p>
        </w:tc>
        <w:tc>
          <w:tcPr>
            <w:gridSpan w:val="2"/>
            <w:tcBorders>
              <w:top w:val="single" w:sz="8" w:space="0" w:color="080101"/>
              <w:left w:val="single" w:sz="8" w:space="0" w:color="080101"/>
              <w:bottom w:val="single" w:sz="8" w:space="0" w:color="080101"/>
              <w:right w:val="single" w:sz="8" w:space="0" w:color="080101"/>
            </w:tcBorders>
            <w:tcMar>
              <w:top w:w="0" w:type="dxa"/>
              <w:left w:w="0" w:type="dxa"/>
              <w:bottom w:w="0" w:type="dxa"/>
              <w:right w:w="0" w:type="dxa"/>
            </w:tcMar>
            <w:vAlign w:val="center"/>
          </w:tcPr>
          <w:p>
            <w:pPr>
              <w:ind/>
              <w:jc w:val="center"/>
            </w:pPr>
            <w:r>
              <w:rPr>
                <w:rFonts w:ascii="宋体" w:hAnsi="宋体" w:eastAsia="宋体" w:cs="宋体"/>
                <w:color w:val="000000"/>
                <w:sz w:val="21"/>
              </w:rPr>
              <w:t xml:space="preserve">1.07560</w:t>
            </w:r>
          </w:p>
        </w:tc>
        <w:tc>
          <w:tcPr>
            <w:gridSpan w:val="3"/>
            <w:tcBorders>
              <w:top w:val="single" w:sz="8" w:space="0" w:color="080101"/>
              <w:left w:val="single" w:sz="8" w:space="0" w:color="080101"/>
              <w:bottom w:val="single" w:sz="8" w:space="0" w:color="080101"/>
              <w:right w:val="single" w:sz="8" w:space="0" w:color="080101"/>
            </w:tcBorders>
            <w:tcMar>
              <w:top w:w="0" w:type="dxa"/>
              <w:left w:w="0" w:type="dxa"/>
              <w:bottom w:w="0" w:type="dxa"/>
              <w:right w:w="0" w:type="dxa"/>
            </w:tcMar>
            <w:vAlign w:val="center"/>
          </w:tcPr>
          <w:p>
            <w:pPr>
              <w:ind/>
              <w:jc w:val="center"/>
            </w:pPr>
            <w:r>
              <w:rPr>
                <w:rFonts w:ascii="宋体" w:hAnsi="宋体" w:eastAsia="宋体" w:cs="宋体"/>
                <w:color w:val="000000"/>
                <w:sz w:val="21"/>
              </w:rPr>
              <w:t xml:space="preserve">1.07560</w:t>
            </w:r>
          </w:p>
        </w:tc>
        <w:tc>
          <w:tcPr>
            <w:gridSpan w:val="2"/>
            <w:tcBorders>
              <w:top w:val="single" w:sz="8" w:space="0" w:color="080101"/>
              <w:left w:val="single" w:sz="8" w:space="0" w:color="080101"/>
              <w:bottom w:val="single" w:sz="8" w:space="0" w:color="080101"/>
              <w:right w:val="single" w:sz="8" w:space="0" w:color="080101"/>
            </w:tcBorders>
            <w:tcMar>
              <w:top w:w="0" w:type="dxa"/>
              <w:left w:w="0" w:type="dxa"/>
              <w:bottom w:w="0" w:type="dxa"/>
              <w:right w:w="0" w:type="dxa"/>
            </w:tcMar>
            <w:vAlign w:val="center"/>
          </w:tcPr>
          <w:p>
            <w:pPr>
              <w:ind/>
              <w:jc w:val="center"/>
            </w:pPr>
            <w:r>
              <w:rPr>
                <w:rFonts w:ascii="宋体" w:hAnsi="宋体" w:eastAsia="宋体" w:cs="宋体"/>
                <w:color w:val="000000"/>
                <w:sz w:val="21"/>
              </w:rPr>
              <w:t xml:space="preserve">5,748,821,229.59</w:t>
            </w: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9"/>
            <w:tcMar>
              <w:top w:w="0" w:type="dxa"/>
              <w:left w:w="0" w:type="dxa"/>
              <w:bottom w:w="0" w:type="dxa"/>
              <w:right w:w="0" w:type="dxa"/>
            </w:tcMar>
            <w:vAlign w:val="center"/>
          </w:tcPr>
          <w:p>
            <w:pPr>
              <w:ind/>
              <w:jc w:val="center"/>
            </w:pPr>
            <w:r>
              <w:rPr>
                <w:rFonts w:ascii="宋体" w:hAnsi="宋体" w:eastAsia="宋体" w:cs="宋体"/>
                <w:color w:val="000000"/>
                <w:sz w:val="24"/>
                <w:b w:val="true"/>
              </w:rPr>
              <w:t xml:space="preserve">§ 四. 产品投资经理简介</w:t>
            </w:r>
          </w:p>
        </w:tc>
        <w:tc>
          <w:tcPr>
     </w:tcPr>
          <w:p>
            <w:pPr>
              <w:pStyle w:val="EMPTY_CELL_STYLE"/>
            </w:pPr>
          </w:p>
        </w:tc>
      </w:tr>
      <w:tr>
        <w:trPr>
          <w:trHeight w:hRule="exact" w:val="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1580"/>
        </w:trPr>
        <w:tc>
          <w:tcPr>
     </w:tcPr>
          <w:p>
            <w:pPr>
              <w:pStyle w:val="EMPTY_CELL_STYLE"/>
            </w:pPr>
          </w:p>
        </w:tc>
        <w:tc>
          <w:tcPr>
            <w:gridSpan w:val="9"/>
            <w:tcMar>
              <w:top w:w="0" w:type="dxa"/>
              <w:left w:w="0" w:type="dxa"/>
              <w:bottom w:w="0" w:type="dxa"/>
              <w:right w:w="0" w:type="dxa"/>
            </w:tcMar>
            <w:vAlign w:val="top"/>
          </w:tcPr>
          <w:p>
            <w:pPr>
              <w:ind w:firstLine="0"/>
              <w:jc w:val="left"/>
              <w:spacing w:lineRule="exact" w:line="320" w:after="0" w:before="0"/>
            </w:pPr>
            <w:r>
              <w:rPr>
                <w:rFonts w:ascii="宋体" w:hAnsi="宋体" w:eastAsia="宋体" w:cs="宋体"/>
                <w:color w:val="000000"/>
                <w:sz w:val="21"/>
              </w:rPr>
              <w:t xml:space="preserve">    金晶女士，对外经济贸易大学金融学硕士，拥有12年金融领域投资交易经验，于2007年加入兴业银行，历任兴业银行资金营运中心债券交易员、兴业银行资产管理部债券投资经理，投资团队主管。具有丰富的债券投资及固定收益产品管理经验，目前管理十四只净值型“稳利”系列产品，业绩优异，风格稳健。对宏观及利率走势有较为深入的研判，擅长组合投资管理并根据市场研判灵活运用多种投资策略，对产品流动性管理经验丰富。</w:t>
            </w:r>
          </w:p>
        </w:tc>
        <w:tc>
          <w:tcPr>
     </w:tcPr>
          <w:p>
            <w:pPr>
              <w:pStyle w:val="EMPTY_CELL_STYLE"/>
            </w:pPr>
          </w:p>
        </w:tc>
      </w:tr>
      <w:tr>
        <w:trPr>
          <w:trHeight w:hRule="exact" w:val="7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9"/>
            <w:tcMar>
              <w:top w:w="0" w:type="dxa"/>
              <w:left w:w="0" w:type="dxa"/>
              <w:bottom w:w="0" w:type="dxa"/>
              <w:right w:w="0" w:type="dxa"/>
            </w:tcMar>
            <w:vAlign w:val="center"/>
          </w:tcPr>
          <w:p>
            <w:pPr>
              <w:ind/>
              <w:jc w:val="center"/>
            </w:pPr>
            <w:r>
              <w:rPr>
                <w:rFonts w:ascii="宋体" w:hAnsi="宋体" w:eastAsia="宋体" w:cs="宋体"/>
                <w:color w:val="000000"/>
                <w:sz w:val="24"/>
                <w:b w:val="true"/>
              </w:rPr>
              <w:t xml:space="preserve">§ 五. 报告期内产品的投资策略和运作分析</w:t>
            </w:r>
          </w:p>
        </w:tc>
        <w:tc>
          <w:tcPr>
     </w:tcPr>
          <w:p>
            <w:pPr>
              <w:pStyle w:val="EMPTY_CELL_STYLE"/>
            </w:pPr>
          </w:p>
        </w:tc>
      </w:tr>
      <w:tr>
        <w:trPr>
          <w:trHeight w:hRule="exact" w:val="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600"/>
        </w:trPr>
        <w:tc>
          <w:tcPr>
     </w:tcPr>
          <w:p>
            <w:pPr>
              <w:pStyle w:val="EMPTY_CELL_STYLE"/>
            </w:pPr>
          </w:p>
        </w:tc>
        <w:tc>
          <w:tcPr>
            <w:gridSpan w:val="9"/>
            <w:tcMar>
              <w:top w:w="0" w:type="dxa"/>
              <w:left w:w="0" w:type="dxa"/>
              <w:bottom w:w="0" w:type="dxa"/>
              <w:right w:w="0" w:type="dxa"/>
            </w:tcMar>
            <w:vAlign w:val="top"/>
          </w:tcPr>
          <w:p>
            <w:pPr>
              <w:ind w:firstLine="0"/>
              <w:jc w:val="left"/>
              <w:spacing w:lineRule="exact" w:line="320" w:after="0" w:before="0"/>
            </w:pPr>
            <w:r>
              <w:rPr>
                <w:rFonts w:ascii="宋体" w:hAnsi="宋体" w:eastAsia="宋体" w:cs="宋体"/>
                <w:color w:val="000000"/>
                <w:sz w:val="21"/>
              </w:rPr>
              <w:t xml:space="preserve">    2021年宏观展望：2021年，预计出口和消费改善带动经济回暖，市场对GDP增速反弹预期在9%左右，出口增长有望达11-12%，随着经济复苏，居民收入和信心进一步好转，提振国内消费。考虑到明年政策支持力度减弱，房地产和基建投资走弱，但企业营收改善有望拉动制造业投资明显反弹。政策更加关注防风险和控杠杆，宽松政策逐步退出。在经济逐渐回升以后，信用政策已经有所控制，房地产调控进一步收紧，利率大幅抬升。2021年大概率会延续这一趋势，政策偏向防风险、控杠杆，经济基本面见顶回落。政策收缩后，之前信用宽松“盖住”的债务风险会有增加，推升的资产价格会有回调压力，内生利率水平会逐渐趋于回落。</w:t>
              <w:br/>
              <w:t xml:space="preserve">    2021年债券展望：2021年顺周期力量接棒推动经济修复是主背景，资金不缺不溢，利率供求有所好转，债市在短期逆风中孕育中期转机，从社融、经济、通胀等走势看，债市转折机会尚需等待，等待存单“锚”切换到资金“锚”，2021年债市可能重演2019年走势，波动空间有限，1季度末到2季度是转机敏感时点，全年10年国债区间3-3.4%；信用面临低利差难度。</w:t>
              <w:br/>
              <w:t xml:space="preserve">    2021年投资展望：（1）久期策略：2021年经济和利率大概率前高后低。稳利产品在上半年会采取较为保守的票息策略，应对市场的调整；若基本面出现复苏乏力的迹象，产品将左侧布局，拉长久期，以把握下半年的交易性机会。（2）杠杆策略：全年资金宽松空间不大，但考虑到目前套息效果尚可，2021年杠杆将维持中性水平。（3）信用挖掘策略：2020年信用利差具有调整压力，稳利产品信用债投资将向中高等级倾斜。</w:t>
            </w:r>
          </w:p>
        </w:tc>
        <w:tc>
          <w:tcPr>
     </w:tcPr>
          <w:p>
            <w:pPr>
              <w:pStyle w:val="EMPTY_CELL_STYLE"/>
            </w:pPr>
          </w:p>
        </w:tc>
      </w:tr>
      <w:tr>
        <w:trPr>
          <w:trHeight w:hRule="exact" w:val="20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4/</w:t>
            </w:r>
          </w:p>
        </w:tc>
        <w:tc>
          <w:tcPr>
            <w:tcMar>
              <w:top w:w="0" w:type="dxa"/>
              <w:left w:w="0" w:type="dxa"/>
              <w:bottom w:w="0" w:type="dxa"/>
              <w:right w:w="0" w:type="dxa"/>
            </w:tcMar>
            <w:vAlign w:val="top"/>
          </w:tcPr>
          <w:p>
            <w:pPr>
              <w:ind/>
              <w:jc w:val="left"/>
            </w:pPr>
            <w:r>
              <w:rPr>
                <w:rFonts w:ascii="SansSerif" w:hAnsi="SansSerif" w:eastAsia="SansSerif" w:cs="SansSerif"/>
                <w:color w:val="000000"/>
                <w:sz w:val="18"/>
              </w:rPr>
              <w:t xml:space="preserve">8</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bl>
    <w:tbl>
      <w:tblPr>
        <w:tblLayout w:type="fixed"/>
      </w:tblPr>
      <w:tblGrid>
        <w:gridCol w:w="1"/>
        <w:gridCol w:w="20"/>
        <w:gridCol w:w="3380"/>
        <w:gridCol w:w="2000"/>
        <w:gridCol w:w="2000"/>
        <w:gridCol w:w="3300"/>
        <w:gridCol w:w="20"/>
        <w:gridCol w:w="1"/>
      </w:tblGrid>
      <w:tr>
        <w:trPr>
          <w:trHeight w:hRule="exact" w:val="0"/>
        </w:trPr>
        <w:tc>
          <w:tcPr>
     </w:tcPr>
          <w:p>
            <w:pPr>
              <w:pStyle w:val="EMPTY_CELL_STYLE"/>
              <w:pageBreakBefore/>
            </w:pPr>
            <w:bookmarkStart w:id="4" w:name="JR_PAGE_ANCHOR_0_5"/>
            <w:bookmarkEnd w:id="4"/>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5"/>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兴业银行天天万利宝稳利5号净值型理财产品E款2020年年度报告</w:t>
            </w: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r>
      <w:tr>
        <w:trPr>
          <w:trHeight w:hRule="exact" w:val="8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5"/>
            <w:tcMar>
              <w:top w:w="0" w:type="dxa"/>
              <w:left w:w="0" w:type="dxa"/>
              <w:bottom w:w="0" w:type="dxa"/>
              <w:right w:w="0" w:type="dxa"/>
            </w:tcMar>
            <w:vAlign w:val="center"/>
          </w:tcPr>
          <w:p>
            <w:pPr>
              <w:ind/>
              <w:jc w:val="center"/>
            </w:pPr>
            <w:r>
              <w:rPr>
                <w:rFonts w:ascii="宋体" w:hAnsi="宋体" w:eastAsia="宋体" w:cs="宋体"/>
                <w:color w:val="000000"/>
                <w:sz w:val="24"/>
                <w:b w:val="true"/>
              </w:rPr>
              <w:t xml:space="preserve">§ 六. 理财托管机构报告</w:t>
            </w:r>
          </w:p>
        </w:tc>
        <w:tc>
          <w:tcPr>
     </w:tcPr>
          <w:p>
            <w:pPr>
              <w:pStyle w:val="EMPTY_CELL_STYLE"/>
            </w:pPr>
          </w:p>
        </w:tc>
        <w:tc>
          <w:tcPr>
     </w:tcPr>
          <w:p>
            <w:pPr>
              <w:pStyle w:val="EMPTY_CELL_STYLE"/>
            </w:pPr>
          </w:p>
        </w:tc>
      </w:tr>
      <w:tr>
        <w:trPr>
          <w:trHeight w:hRule="exact" w:val="4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3000"/>
        </w:trPr>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jc w:val="left"/>
              <w:spacing w:lineRule="exact" w:line="320" w:after="0" w:before="0"/>
            </w:pPr>
            <w:r>
              <w:rPr>
                <w:rFonts w:ascii="宋体" w:hAnsi="宋体" w:eastAsia="宋体" w:cs="宋体"/>
                <w:color w:val="000000"/>
                <w:sz w:val="21"/>
              </w:rPr>
              <w:br/>
              <w:t xml:space="preserve">    报告期内，托管人严格遵守《商业银行理财业务监督管理办法》及相关法律法规规定、理财产品托管协议约定，诚实信用、谨慎勤勉地履行了托管人义务，不存在损害理财产品投资者利益的行为。</w:t>
              <w:br/>
              <w:t xml:space="preserve">    报告期内，托管人根据国家有关法律法规规定、理财产品托管协议的约定，对管理人在本理财产品的投资运作、资产净值的计算、收益的计算、理财产品费用开支等方面进行了必要的监督、复核和审查，未发现其存在任何损害本理财产品投资者利益的行为。</w:t>
              <w:br/>
              <w:t xml:space="preserve">    托管人认真复核了本报告中的净值表现、投资组合报告等内容，认为其真实、准确和完整，不存在虚假记载、误导性陈述或者重大遗漏。</w:t>
              <w:br/>
            </w:r>
          </w:p>
        </w:tc>
        <w:tc>
          <w:tcPr>
     </w:tcPr>
          <w:p>
            <w:pPr>
              <w:pStyle w:val="EMPTY_CELL_STYLE"/>
            </w:pPr>
          </w:p>
        </w:tc>
      </w:tr>
      <w:tr>
        <w:trPr>
          <w:trHeight w:hRule="exact" w:val="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5"/>
            <w:tcMar>
              <w:top w:w="0" w:type="dxa"/>
              <w:left w:w="0" w:type="dxa"/>
              <w:bottom w:w="0" w:type="dxa"/>
              <w:right w:w="0" w:type="dxa"/>
            </w:tcMar>
            <w:vAlign w:val="center"/>
          </w:tcPr>
          <w:p>
            <w:pPr>
              <w:ind/>
              <w:jc w:val="center"/>
            </w:pPr>
            <w:r>
              <w:rPr>
                <w:rFonts w:ascii="宋体" w:hAnsi="宋体" w:eastAsia="宋体" w:cs="宋体"/>
                <w:color w:val="000000"/>
                <w:sz w:val="24"/>
                <w:b w:val="true"/>
              </w:rPr>
              <w:t xml:space="preserve">§ 七. 审计报告</w:t>
            </w:r>
          </w:p>
        </w:tc>
        <w:tc>
          <w:tcPr>
     </w:tcPr>
          <w:p>
            <w:pPr>
              <w:pStyle w:val="EMPTY_CELL_STYLE"/>
            </w:pPr>
          </w:p>
        </w:tc>
        <w:tc>
          <w:tcPr>
     </w:tcPr>
          <w:p>
            <w:pPr>
              <w:pStyle w:val="EMPTY_CELL_STYLE"/>
            </w:pPr>
          </w:p>
        </w:tc>
      </w:tr>
      <w:tr>
        <w:trPr>
          <w:trHeight w:hRule="exact" w:val="4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1480"/>
        </w:trPr>
        <w:tc>
          <w:tcPr>
     </w:tcPr>
          <w:p>
            <w:pPr>
              <w:pStyle w:val="EMPTY_CELL_STYLE"/>
            </w:pPr>
          </w:p>
        </w:tc>
        <w:tc>
          <w:tcPr>
            <w:gridSpan w:val="5"/>
            <w:tcMar>
              <w:top w:w="0" w:type="dxa"/>
              <w:left w:w="0" w:type="dxa"/>
              <w:bottom w:w="0" w:type="dxa"/>
              <w:right w:w="0" w:type="dxa"/>
            </w:tcMar>
            <w:vAlign w:val="center"/>
          </w:tcPr>
          <w:p>
            <w:pPr>
              <w:ind/>
              <w:jc w:val="left"/>
              <w:spacing w:lineRule="exact" w:line="320" w:after="0" w:before="0"/>
            </w:pPr>
            <w:r>
              <w:rPr>
                <w:rFonts w:ascii="宋体" w:hAnsi="宋体" w:eastAsia="宋体" w:cs="宋体"/>
                <w:color w:val="000000"/>
                <w:sz w:val="21"/>
              </w:rPr>
              <w:br/>
              <w:t xml:space="preserve">    本产品聘请毕马威会计师事务所（特殊普通合伙）上海分所依据中国注册会计师审计准则对本产品的财务报表，包括2020年12月31日的资产负债表，2020年度的利润表和理财产品净值变动表以及相关财务报表附注进行了审计，并出具了审计报告。</w:t>
            </w:r>
          </w:p>
        </w:tc>
        <w:tc>
          <w:tcPr>
     </w:tcPr>
          <w:p>
            <w:pPr>
              <w:pStyle w:val="EMPTY_CELL_STYLE"/>
            </w:pPr>
          </w:p>
        </w:tc>
        <w:tc>
          <w:tcPr>
     </w:tcPr>
          <w:p>
            <w:pPr>
              <w:pStyle w:val="EMPTY_CELL_STYLE"/>
            </w:pPr>
          </w:p>
        </w:tc>
      </w:tr>
      <w:tr>
        <w:trPr>
          <w:trHeight w:hRule="exact" w:val="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5"/>
            <w:tcMar>
              <w:top w:w="0" w:type="dxa"/>
              <w:left w:w="0" w:type="dxa"/>
              <w:bottom w:w="0" w:type="dxa"/>
              <w:right w:w="0" w:type="dxa"/>
            </w:tcMar>
            <w:vAlign w:val="center"/>
          </w:tcPr>
          <w:p>
            <w:pPr>
              <w:ind/>
              <w:jc w:val="center"/>
            </w:pPr>
            <w:r>
              <w:rPr>
                <w:rFonts w:ascii="宋体" w:hAnsi="宋体" w:eastAsia="宋体" w:cs="宋体"/>
                <w:color w:val="000000"/>
                <w:sz w:val="24"/>
                <w:b w:val="true"/>
              </w:rPr>
              <w:t xml:space="preserve">§ 八. 投资组合情况</w:t>
            </w: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gridSpan w:val="5"/>
            <w:tcMar>
              <w:top w:w="0" w:type="dxa"/>
              <w:left w:w="0" w:type="dxa"/>
              <w:bottom w:w="0" w:type="dxa"/>
              <w:right w:w="0" w:type="dxa"/>
            </w:tcMar>
            <w:vAlign w:val="center"/>
          </w:tcPr>
          <w:p>
            <w:pPr>
              <w:ind/>
              <w:jc w:val="left"/>
            </w:pPr>
            <w:r>
              <w:rPr>
                <w:rFonts w:ascii="宋体" w:hAnsi="宋体" w:eastAsia="宋体" w:cs="宋体"/>
                <w:color w:val="000000"/>
                <w:sz w:val="21"/>
                <w:b w:val="true"/>
              </w:rPr>
              <w:t xml:space="preserve">1.报告期末产品资产组合情况</w:t>
            </w: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0"/>
        </w:trPr>
        <w:tc>
          <w:tcPr>
     </w:tcPr>
          <w:p>
            <w:pPr>
              <w:pStyle w:val="EMPTY_CELL_STYLE"/>
            </w:pPr>
          </w:p>
        </w:tc>
        <w:tc>
          <w:tcPr>
     </w:tcPr>
          <w:p>
            <w:pPr>
              <w:pStyle w:val="EMPTY_CELL_STYLE"/>
            </w:pPr>
          </w:p>
        </w:tc>
        <w:tc>
          <w:tcPr>
            <w:gridSpan w:val="5"/>
            <w:shd w:val="clear" w:color="auto" w:fill="FFFFFF"/>
            <w:tcMar>
              <w:top w:w="0" w:type="dxa"/>
              <w:left w:w="0" w:type="dxa"/>
              <w:bottom w:w="0" w:type="dxa"/>
              <w:right w:w="0" w:type="dxa"/>
            </w:tcMar>
          </w:tcPr>
          <w:tbl>
            <w:tblPr>
              <w:tblLayout w:type="fixed"/>
            </w:tblPr>
            <w:tblGrid>
              <w:gridCol w:w="1000"/>
              <w:gridCol w:w="2600"/>
              <w:gridCol w:w="4000"/>
              <w:gridCol w:w="3100"/>
            </w:tblGrid>
            <w:tr>
              <w:trPr>
                <w:trHeight w:hRule="exact" w:val="600"/>
              </w:trPr>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1000"/>
                    <w:gridCol w:w="10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序号</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资产类型</w:t>
                        </w:r>
                      </w:p>
                    </w:tc>
                  </w:tr>
                </w:tbl>
                <w:p>
                  <w:pPr>
                    <w:pStyle w:val="EMPTY_CELL_STYLE"/>
                  </w:pPr>
                </w:p>
              </w:tc>
              <w:tc>
                <w:tcPr>
                  <w:shd w:val="clear" w:color="auto" w:fill="FFFFFF"/>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直接投资占比（%）</w:t>
                        </w:r>
                      </w:p>
                    </w:tc>
                  </w:tr>
                </w:tbl>
                <w:p>
                  <w:pPr>
                    <w:pStyle w:val="EMPTY_CELL_STYLE"/>
                  </w:pPr>
                </w:p>
              </w:tc>
              <w:tc>
                <w:tcPr>
                  <w:shd w:val="clear" w:color="auto" w:fill="F0F8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间接投资占比（%）</w:t>
                        </w:r>
                      </w:p>
                    </w:tc>
                  </w:tr>
                </w:tbl>
                <w:p>
                  <w:pPr>
                    <w:pStyle w:val="EMPTY_CELL_STYLE"/>
                  </w:pPr>
                </w:p>
              </w:tc>
            </w:tr>
            <w:tr>
              <w:trPr>
                <w:trHeight w:hRule="exact" w:val="600"/>
              </w:trPr>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000"/>
                    <w:gridCol w:w="1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现金及存款</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4.33</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w:t>
                        </w:r>
                      </w:p>
                    </w:tc>
                  </w:tr>
                </w:tbl>
                <w:p>
                  <w:pPr>
                    <w:pStyle w:val="EMPTY_CELL_STYLE"/>
                  </w:pPr>
                </w:p>
              </w:tc>
            </w:tr>
            <w:tr>
              <w:trPr>
                <w:trHeight w:hRule="exact" w:val="600"/>
              </w:trPr>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000"/>
                    <w:gridCol w:w="1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债券投资</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57.64</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w:t>
                        </w:r>
                      </w:p>
                    </w:tc>
                  </w:tr>
                </w:tbl>
                <w:p>
                  <w:pPr>
                    <w:pStyle w:val="EMPTY_CELL_STYLE"/>
                  </w:pPr>
                </w:p>
              </w:tc>
            </w:tr>
            <w:tr>
              <w:trPr>
                <w:trHeight w:hRule="exact" w:val="600"/>
              </w:trPr>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000"/>
                    <w:gridCol w:w="1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非标准化债权类资产</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38.03</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w:t>
                        </w:r>
                      </w:p>
                    </w:tc>
                  </w:tr>
                </w:tbl>
                <w:p>
                  <w:pPr>
                    <w:pStyle w:val="EMPTY_CELL_STYLE"/>
                  </w:pPr>
                </w:p>
              </w:tc>
            </w:tr>
            <w:tr>
              <w:trPr>
                <w:trHeight w:hRule="exact" w:val="600"/>
              </w:trPr>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000"/>
                    <w:gridCol w:w="1000"/>
                  </w:tblGrid>
                  <w:tr>
                    <w:trPr>
                      <w:trHeight w:hRule="atLeast" w:val="600"/>
                    </w:trPr>
                    <w:tc>
                      <w:tcPr>
                        <w:tcMar>
                          <w:top w:w="0" w:type="dxa"/>
                          <w:left w:w="0" w:type="dxa"/>
                          <w:bottom w:w="0" w:type="dxa"/>
                          <w:right w:w="0" w:type="dxa"/>
                        </w:tcMar>
                        <w:vAlign w:val="center"/>
                      </w:tcPr>
                      <w:p>
                        <w:pPr>
                          <w:ind/>
                          <w:jc w:val="center"/>
                        </w:pP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总计</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w:t>
                        </w:r>
                      </w:p>
                    </w:tc>
                  </w:tr>
                </w:tbl>
                <w:p>
                  <w:pPr>
                    <w:pStyle w:val="EMPTY_CELL_STYLE"/>
                  </w:pPr>
                </w:p>
              </w:tc>
            </w:tr>
          </w:tbl>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5"/>
            <w:tcMar>
              <w:top w:w="0" w:type="dxa"/>
              <w:left w:w="0" w:type="dxa"/>
              <w:bottom w:w="0" w:type="dxa"/>
              <w:right w:w="0" w:type="dxa"/>
            </w:tcMar>
            <w:vAlign w:val="center"/>
          </w:tcPr>
          <w:p>
            <w:pPr>
              <w:ind/>
              <w:jc w:val="left"/>
            </w:pPr>
            <w:r>
              <w:rPr>
                <w:rFonts w:ascii="宋体" w:hAnsi="宋体" w:eastAsia="宋体" w:cs="宋体"/>
                <w:color w:val="000000"/>
                <w:sz w:val="21"/>
                <w:b w:val="true"/>
              </w:rPr>
              <w:t xml:space="preserve">2.报告期末杠杆融资情况</w:t>
            </w:r>
          </w:p>
        </w:tc>
        <w:tc>
          <w:tcPr>
     </w:tcPr>
          <w:p>
            <w:pPr>
              <w:pStyle w:val="EMPTY_CELL_STYLE"/>
            </w:pPr>
          </w:p>
        </w:tc>
        <w:tc>
          <w:tcPr>
     </w:tcPr>
          <w:p>
            <w:pPr>
              <w:pStyle w:val="EMPTY_CELL_STYLE"/>
            </w:pPr>
          </w:p>
        </w:tc>
      </w:tr>
      <w:tr>
        <w:trPr>
          <w:trHeight w:hRule="atLeast" w:val="1000"/>
        </w:trPr>
        <w:tc>
          <w:tcPr>
     </w:tcPr>
          <w:p>
            <w:pPr>
              <w:pStyle w:val="EMPTY_CELL_STYLE"/>
            </w:pPr>
          </w:p>
        </w:tc>
        <w:tc>
          <w:tcPr>
            <w:gridSpan w:val="5"/>
            <w:tcMar>
              <w:top w:w="0" w:type="dxa"/>
              <w:left w:w="0" w:type="dxa"/>
              <w:bottom w:w="0" w:type="dxa"/>
              <w:right w:w="0" w:type="dxa"/>
            </w:tcMar>
            <w:vAlign w:val="top"/>
          </w:tcPr>
          <w:p>
            <w:pPr>
              <w:ind w:firstLine="0"/>
              <w:jc w:val="left"/>
              <w:spacing w:lineRule="exact" w:line="320" w:after="0" w:before="0"/>
            </w:pPr>
            <w:r>
              <w:rPr>
                <w:rFonts w:ascii="宋体" w:hAnsi="宋体" w:eastAsia="宋体" w:cs="宋体"/>
                <w:color w:val="000000"/>
                <w:sz w:val="21"/>
              </w:rPr>
              <w:t xml:space="preserve">    报告期末本产品债券回购融资余额未超过净资产规模的100%，本产品总资产未超过该产品净资产规模的200%，符合产品协议对本产品杠杆比例的要求。</w:t>
            </w:r>
          </w:p>
        </w:tc>
        <w:tc>
          <w:tcPr>
     </w:tcPr>
          <w:p>
            <w:pPr>
              <w:pStyle w:val="EMPTY_CELL_STYLE"/>
            </w:pPr>
          </w:p>
        </w:tc>
        <w:tc>
          <w:tcPr>
     </w:tcPr>
          <w:p>
            <w:pPr>
              <w:pStyle w:val="EMPTY_CELL_STYLE"/>
            </w:pPr>
          </w:p>
        </w:tc>
      </w:tr>
      <w:tr>
        <w:trPr>
          <w:trHeight w:hRule="exact" w:val="2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5/</w:t>
            </w:r>
          </w:p>
        </w:tc>
        <w:tc>
          <w:tcPr>
            <w:tcMar>
              <w:top w:w="0" w:type="dxa"/>
              <w:left w:w="0" w:type="dxa"/>
              <w:bottom w:w="0" w:type="dxa"/>
              <w:right w:w="0" w:type="dxa"/>
            </w:tcMar>
            <w:vAlign w:val="top"/>
          </w:tcPr>
          <w:p>
            <w:pPr>
              <w:ind/>
              <w:jc w:val="left"/>
            </w:pPr>
            <w:r>
              <w:rPr>
                <w:rFonts w:ascii="SansSerif" w:hAnsi="SansSerif" w:eastAsia="SansSerif" w:cs="SansSerif"/>
                <w:color w:val="000000"/>
                <w:sz w:val="18"/>
              </w:rPr>
              <w:t xml:space="preserve">8</w:t>
            </w:r>
          </w:p>
        </w:tc>
        <w:tc>
          <w:tcPr>
     </w:tcPr>
          <w:p>
            <w:pPr>
              <w:pStyle w:val="EMPTY_CELL_STYLE"/>
            </w:pPr>
          </w:p>
        </w:tc>
        <w:tc>
          <w:tcPr>
     </w:tcPr>
          <w:p>
            <w:pPr>
              <w:pStyle w:val="EMPTY_CELL_STYLE"/>
            </w:pPr>
          </w:p>
        </w:tc>
        <w:tc>
          <w:tcPr>
     </w:tcPr>
          <w:p>
            <w:pPr>
              <w:pStyle w:val="EMPTY_CELL_STYLE"/>
            </w:pPr>
          </w:p>
        </w:tc>
      </w:tr>
    </w:tbl>
    <w:tbl>
      <w:tblPr>
        <w:tblLayout w:type="fixed"/>
      </w:tblPr>
      <w:tblGrid>
        <w:gridCol w:w="1"/>
        <w:gridCol w:w="3400"/>
        <w:gridCol w:w="2000"/>
        <w:gridCol w:w="2000"/>
        <w:gridCol w:w="3300"/>
        <w:gridCol w:w="1"/>
      </w:tblGrid>
      <w:tr>
        <w:trPr>
          <w:trHeight w:hRule="exact" w:val="0"/>
        </w:trPr>
        <w:tc>
          <w:tcPr>
     </w:tcPr>
          <w:p>
            <w:pPr>
              <w:pStyle w:val="EMPTY_CELL_STYLE"/>
              <w:pageBreakBefore/>
            </w:pPr>
            <w:bookmarkStart w:id="5" w:name="JR_PAGE_ANCHOR_0_6"/>
            <w:bookmarkEnd w:id="5"/>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4"/>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兴业银行天天万利宝稳利5号净值型理财产品E款2020年年度报告</w:t>
            </w: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4"/>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atLeast" w:val="600"/>
        </w:trPr>
        <w:tc>
          <w:tcPr>
     </w:tcPr>
          <w:p>
            <w:pPr>
              <w:pStyle w:val="EMPTY_CELL_STYLE"/>
            </w:pPr>
          </w:p>
        </w:tc>
        <w:tc>
          <w:tcPr>
            <w:gridSpan w:val="4"/>
            <w:tcMar>
              <w:top w:w="0" w:type="dxa"/>
              <w:left w:w="0" w:type="dxa"/>
              <w:bottom w:w="0" w:type="dxa"/>
              <w:right w:w="0" w:type="dxa"/>
            </w:tcMar>
            <w:vAlign w:val="center"/>
          </w:tcPr>
          <w:p>
            <w:pPr>
              <w:ind/>
              <w:jc w:val="left"/>
            </w:pPr>
            <w:r>
              <w:rPr>
                <w:rFonts w:ascii="宋体" w:hAnsi="宋体" w:eastAsia="宋体" w:cs="宋体"/>
                <w:color w:val="000000"/>
                <w:sz w:val="21"/>
                <w:b w:val="true"/>
              </w:rPr>
              <w:t xml:space="preserve">3.投资组合的流动性风险分析</w:t>
            </w:r>
          </w:p>
        </w:tc>
        <w:tc>
          <w:tcPr>
     </w:tcPr>
          <w:p>
            <w:pPr>
              <w:pStyle w:val="EMPTY_CELL_STYLE"/>
            </w:pPr>
          </w:p>
        </w:tc>
      </w:tr>
      <w:tr>
        <w:trPr>
          <w:trHeight w:hRule="atLeast" w:val="2580"/>
        </w:trPr>
        <w:tc>
          <w:tcPr>
     </w:tcPr>
          <w:p>
            <w:pPr>
              <w:pStyle w:val="EMPTY_CELL_STYLE"/>
            </w:pPr>
          </w:p>
        </w:tc>
        <w:tc>
          <w:tcPr>
            <w:gridSpan w:val="4"/>
            <w:tcMar>
              <w:top w:w="0" w:type="dxa"/>
              <w:left w:w="0" w:type="dxa"/>
              <w:bottom w:w="0" w:type="dxa"/>
              <w:right w:w="0" w:type="dxa"/>
            </w:tcMar>
            <w:vAlign w:val="top"/>
          </w:tcPr>
          <w:p>
            <w:pPr>
              <w:ind w:firstLine="0"/>
              <w:jc w:val="left"/>
              <w:spacing w:lineRule="exact" w:line="320" w:after="0" w:before="0"/>
            </w:pPr>
            <w:r>
              <w:rPr>
                <w:rFonts w:ascii="宋体" w:hAnsi="宋体" w:eastAsia="宋体" w:cs="宋体"/>
                <w:color w:val="000000"/>
                <w:sz w:val="21"/>
              </w:rPr>
              <w:t xml:space="preserve">    流动性风险是指产品在履行与金融负债有关的义务时遇到资金短缺的风险。本产品的流动性风险主要来自于若投资品种所处的交易市场不活跃，可能带来资产变现困难或产品持仓资产在市场出现剧烈波动的情况下难以以合理价格变现的风险。</w:t>
              <w:br/>
              <w:t xml:space="preserve">    为防范无法支付到期赎回款而产生的流动性风险，本理财产品管理人将合理安排所投资产期限，产品到期前完成所投资组合中相关资产变现，尽可能降低产品流动性风险，有效保障理财持有人利益。</w:t>
              <w:br/>
              <w:t xml:space="preserve">    报告期内，本理财产品管理人严格遵守相关法律法规以及产品销售协议，对理财产品组合资产的流动性风险进行管理，报告期内未发生流动性风险。</w:t>
              <w:br/>
            </w:r>
          </w:p>
        </w:tc>
        <w:tc>
          <w:tcPr>
     </w:tcPr>
          <w:p>
            <w:pPr>
              <w:pStyle w:val="EMPTY_CELL_STYLE"/>
            </w:pPr>
          </w:p>
        </w:tc>
      </w:tr>
      <w:tr>
        <w:trPr>
          <w:trHeight w:hRule="exact" w:val="5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4"/>
            <w:tcMar>
              <w:top w:w="0" w:type="dxa"/>
              <w:left w:w="0" w:type="dxa"/>
              <w:bottom w:w="0" w:type="dxa"/>
              <w:right w:w="0" w:type="dxa"/>
            </w:tcMar>
            <w:vAlign w:val="center"/>
          </w:tcPr>
          <w:p>
            <w:pPr>
              <w:ind/>
            </w:pPr>
            <w:r>
              <w:rPr>
                <w:rFonts w:ascii="宋体" w:hAnsi="宋体" w:eastAsia="宋体" w:cs="宋体"/>
                <w:color w:val="000000"/>
                <w:sz w:val="21"/>
                <w:b w:val="true"/>
              </w:rPr>
              <w:t xml:space="preserve">4.报告期末资产持仓前十基本信息</w:t>
            </w:r>
          </w:p>
        </w:tc>
        <w:tc>
          <w:tcPr>
     </w:tcPr>
          <w:p>
            <w:pPr>
              <w:pStyle w:val="EMPTY_CELL_STYLE"/>
            </w:pPr>
          </w:p>
        </w:tc>
      </w:tr>
      <w:tr>
        <w:trPr>
          <w:trHeight w:hRule="exact" w:val="6640"/>
        </w:trPr>
        <w:tc>
          <w:tcPr>
     </w:tcPr>
          <w:p>
            <w:pPr>
              <w:pStyle w:val="EMPTY_CELL_STYLE"/>
            </w:pPr>
          </w:p>
        </w:tc>
        <w:tc>
          <w:tcPr>
            <w:gridSpan w:val="4"/>
            <w:shd w:val="clear" w:color="auto" w:fill="FFFFFF"/>
            <w:tcBorders>
              <w:bottom w:val="single" w:sz="4" w:space="0" w:color="000000"/>
            </w:tcBorders>
            <w:tcMar>
              <w:top w:w="0" w:type="dxa"/>
              <w:left w:w="0" w:type="dxa"/>
              <w:bottom w:w="0" w:type="dxa"/>
              <w:right w:w="0" w:type="dxa"/>
            </w:tcMar>
          </w:tcPr>
          <w:tbl>
            <w:tblPr>
              <w:tblLayout w:type="fixed"/>
            </w:tblPr>
            <w:tblGrid>
              <w:gridCol w:w="1000"/>
              <w:gridCol w:w="4000"/>
              <w:gridCol w:w="2600"/>
              <w:gridCol w:w="3100"/>
            </w:tblGrid>
            <w:tr>
              <w:trPr>
                <w:trHeight w:hRule="exact" w:val="640"/>
              </w:trPr>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1000"/>
                    <w:gridCol w:w="1000"/>
                  </w:tblGrid>
                  <w:tr>
                    <w:trPr>
                      <w:trHeight w:hRule="atLeast" w:val="64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序号</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4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资产名称</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4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资产面额</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3100"/>
                    <w:gridCol w:w="3100"/>
                  </w:tblGrid>
                  <w:tr>
                    <w:trPr>
                      <w:trHeight w:hRule="atLeast" w:val="64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占产品资产净值的比例（%）</w:t>
                        </w:r>
                      </w:p>
                    </w:tc>
                  </w:tr>
                </w:tbl>
                <w:p>
                  <w:pPr>
                    <w:pStyle w:val="EMPTY_CELL_STYLE"/>
                  </w:pPr>
                </w:p>
              </w:tc>
            </w:tr>
            <w:tr>
              <w:trPr>
                <w:trHeight w:hRule="exact" w:val="580"/>
              </w:trPr>
              <w:tc>
                <w:tcPr>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Layout w:type="fixed"/>
                  </w:tblPr>
                  <w:tblGrid>
                    <w:gridCol w:w="1000"/>
                    <w:gridCol w:w="1000"/>
                  </w:tblGrid>
                  <w:tr>
                    <w:trPr>
                      <w:trHeight w:hRule="atLeast" w:val="58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山东信托-天津悦府房地产开发有限公司（天津分行）</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2,668,000,000.00</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46.41</w:t>
                        </w:r>
                      </w:p>
                    </w:tc>
                  </w:tr>
                </w:tbl>
                <w:p>
                  <w:pPr>
                    <w:pStyle w:val="EMPTY_CELL_STYLE"/>
                  </w:pPr>
                </w:p>
              </w:tc>
            </w:tr>
            <w:tr>
              <w:trPr>
                <w:trHeight w:hRule="exact" w:val="580"/>
              </w:trPr>
              <w:tc>
                <w:tcPr>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Layout w:type="fixed"/>
                  </w:tblPr>
                  <w:tblGrid>
                    <w:gridCol w:w="1000"/>
                    <w:gridCol w:w="1000"/>
                  </w:tblGrid>
                  <w:tr>
                    <w:trPr>
                      <w:trHeight w:hRule="atLeast" w:val="58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20上海农商银行CD130</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400,000,000.00</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6.86</w:t>
                        </w:r>
                      </w:p>
                    </w:tc>
                  </w:tr>
                </w:tbl>
                <w:p>
                  <w:pPr>
                    <w:pStyle w:val="EMPTY_CELL_STYLE"/>
                  </w:pPr>
                </w:p>
              </w:tc>
            </w:tr>
            <w:tr>
              <w:trPr>
                <w:trHeight w:hRule="exact" w:val="580"/>
              </w:trPr>
              <w:tc>
                <w:tcPr>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Layout w:type="fixed"/>
                  </w:tblPr>
                  <w:tblGrid>
                    <w:gridCol w:w="1000"/>
                    <w:gridCol w:w="1000"/>
                  </w:tblGrid>
                  <w:tr>
                    <w:trPr>
                      <w:trHeight w:hRule="atLeast" w:val="58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20齐鲁银行CD057</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300,000,000.00</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5.14</w:t>
                        </w:r>
                      </w:p>
                    </w:tc>
                  </w:tr>
                </w:tbl>
                <w:p>
                  <w:pPr>
                    <w:pStyle w:val="EMPTY_CELL_STYLE"/>
                  </w:pPr>
                </w:p>
              </w:tc>
            </w:tr>
            <w:tr>
              <w:trPr>
                <w:trHeight w:hRule="exact" w:val="580"/>
              </w:trPr>
              <w:tc>
                <w:tcPr>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Layout w:type="fixed"/>
                  </w:tblPr>
                  <w:tblGrid>
                    <w:gridCol w:w="1000"/>
                    <w:gridCol w:w="1000"/>
                  </w:tblGrid>
                  <w:tr>
                    <w:trPr>
                      <w:trHeight w:hRule="atLeast" w:val="58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4</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16兰州城投PPN002</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100,000,000.00</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1.75</w:t>
                        </w:r>
                      </w:p>
                    </w:tc>
                  </w:tr>
                </w:tbl>
                <w:p>
                  <w:pPr>
                    <w:pStyle w:val="EMPTY_CELL_STYLE"/>
                  </w:pPr>
                </w:p>
              </w:tc>
            </w:tr>
            <w:tr>
              <w:trPr>
                <w:trHeight w:hRule="exact" w:val="580"/>
              </w:trPr>
              <w:tc>
                <w:tcPr>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Layout w:type="fixed"/>
                  </w:tblPr>
                  <w:tblGrid>
                    <w:gridCol w:w="1000"/>
                    <w:gridCol w:w="1000"/>
                  </w:tblGrid>
                  <w:tr>
                    <w:trPr>
                      <w:trHeight w:hRule="atLeast" w:val="58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5</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中国银行大额存单20200508001</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100,000,000.00</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1.74</w:t>
                        </w:r>
                      </w:p>
                    </w:tc>
                  </w:tr>
                </w:tbl>
                <w:p>
                  <w:pPr>
                    <w:pStyle w:val="EMPTY_CELL_STYLE"/>
                  </w:pPr>
                </w:p>
              </w:tc>
            </w:tr>
            <w:tr>
              <w:trPr>
                <w:trHeight w:hRule="exact" w:val="580"/>
              </w:trPr>
              <w:tc>
                <w:tcPr>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Layout w:type="fixed"/>
                  </w:tblPr>
                  <w:tblGrid>
                    <w:gridCol w:w="1000"/>
                    <w:gridCol w:w="1000"/>
                  </w:tblGrid>
                  <w:tr>
                    <w:trPr>
                      <w:trHeight w:hRule="atLeast" w:val="58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6</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20东莞银行CD212</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100,000,000.00</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1.71</w:t>
                        </w:r>
                      </w:p>
                    </w:tc>
                  </w:tr>
                </w:tbl>
                <w:p>
                  <w:pPr>
                    <w:pStyle w:val="EMPTY_CELL_STYLE"/>
                  </w:pPr>
                </w:p>
              </w:tc>
            </w:tr>
            <w:tr>
              <w:trPr>
                <w:trHeight w:hRule="exact" w:val="580"/>
              </w:trPr>
              <w:tc>
                <w:tcPr>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Layout w:type="fixed"/>
                  </w:tblPr>
                  <w:tblGrid>
                    <w:gridCol w:w="1000"/>
                    <w:gridCol w:w="1000"/>
                  </w:tblGrid>
                  <w:tr>
                    <w:trPr>
                      <w:trHeight w:hRule="atLeast" w:val="58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7</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18泰交通MTN001</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90,000,000.00</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1.57</w:t>
                        </w:r>
                      </w:p>
                    </w:tc>
                  </w:tr>
                </w:tbl>
                <w:p>
                  <w:pPr>
                    <w:pStyle w:val="EMPTY_CELL_STYLE"/>
                  </w:pPr>
                </w:p>
              </w:tc>
            </w:tr>
            <w:tr>
              <w:trPr>
                <w:trHeight w:hRule="exact" w:val="580"/>
              </w:trPr>
              <w:tc>
                <w:tcPr>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Layout w:type="fixed"/>
                  </w:tblPr>
                  <w:tblGrid>
                    <w:gridCol w:w="1000"/>
                    <w:gridCol w:w="1000"/>
                  </w:tblGrid>
                  <w:tr>
                    <w:trPr>
                      <w:trHeight w:hRule="atLeast" w:val="58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8</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19晋中01</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80,000,000.00</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1.40</w:t>
                        </w:r>
                      </w:p>
                    </w:tc>
                  </w:tr>
                </w:tbl>
                <w:p>
                  <w:pPr>
                    <w:pStyle w:val="EMPTY_CELL_STYLE"/>
                  </w:pPr>
                </w:p>
              </w:tc>
            </w:tr>
            <w:tr>
              <w:trPr>
                <w:trHeight w:hRule="exact" w:val="580"/>
              </w:trPr>
              <w:tc>
                <w:tcPr>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Layout w:type="fixed"/>
                  </w:tblPr>
                  <w:tblGrid>
                    <w:gridCol w:w="1000"/>
                    <w:gridCol w:w="1000"/>
                  </w:tblGrid>
                  <w:tr>
                    <w:trPr>
                      <w:trHeight w:hRule="atLeast" w:val="58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19晋能PPN002</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80,000,000.00</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1.40</w:t>
                        </w:r>
                      </w:p>
                    </w:tc>
                  </w:tr>
                </w:tbl>
                <w:p>
                  <w:pPr>
                    <w:pStyle w:val="EMPTY_CELL_STYLE"/>
                  </w:pPr>
                </w:p>
              </w:tc>
            </w:tr>
            <w:tr>
              <w:trPr>
                <w:trHeight w:hRule="exact" w:val="580"/>
              </w:trPr>
              <w:tc>
                <w:tcPr>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Layout w:type="fixed"/>
                  </w:tblPr>
                  <w:tblGrid>
                    <w:gridCol w:w="1000"/>
                    <w:gridCol w:w="1000"/>
                  </w:tblGrid>
                  <w:tr>
                    <w:trPr>
                      <w:trHeight w:hRule="atLeast" w:val="58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19阳股02</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80,000,000.00</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1.38</w:t>
                        </w:r>
                      </w:p>
                    </w:tc>
                  </w:tr>
                </w:tbl>
                <w:p>
                  <w:pPr>
                    <w:pStyle w:val="EMPTY_CELL_STYLE"/>
                  </w:pPr>
                </w:p>
              </w:tc>
            </w:tr>
          </w:tbl>
          <w:p>
            <w:pPr>
              <w:pStyle w:val="EMPTY_CELL_STYLE"/>
            </w:pPr>
          </w:p>
        </w:tc>
        <w:tc>
          <w:tcPr>
     </w:tcPr>
          <w:p>
            <w:pPr>
              <w:pStyle w:val="EMPTY_CELL_STYLE"/>
            </w:pPr>
          </w:p>
        </w:tc>
      </w:tr>
      <w:tr>
        <w:trPr>
          <w:trHeight w:hRule="exact" w:val="38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6/</w:t>
            </w:r>
          </w:p>
        </w:tc>
        <w:tc>
          <w:tcPr>
            <w:tcMar>
              <w:top w:w="0" w:type="dxa"/>
              <w:left w:w="0" w:type="dxa"/>
              <w:bottom w:w="0" w:type="dxa"/>
              <w:right w:w="0" w:type="dxa"/>
            </w:tcMar>
            <w:vAlign w:val="top"/>
          </w:tcPr>
          <w:p>
            <w:pPr>
              <w:ind/>
              <w:jc w:val="left"/>
            </w:pPr>
            <w:r>
              <w:rPr>
                <w:rFonts w:ascii="SansSerif" w:hAnsi="SansSerif" w:eastAsia="SansSerif" w:cs="SansSerif"/>
                <w:color w:val="000000"/>
                <w:sz w:val="18"/>
              </w:rPr>
              <w:t xml:space="preserve">8</w:t>
            </w:r>
          </w:p>
        </w:tc>
        <w:tc>
          <w:tcPr>
     </w:tcPr>
          <w:p>
            <w:pPr>
              <w:pStyle w:val="EMPTY_CELL_STYLE"/>
            </w:pPr>
          </w:p>
        </w:tc>
        <w:tc>
          <w:tcPr>
     </w:tcPr>
          <w:p>
            <w:pPr>
              <w:pStyle w:val="EMPTY_CELL_STYLE"/>
            </w:pPr>
          </w:p>
        </w:tc>
      </w:tr>
    </w:tbl>
    <w:tbl>
      <w:tblPr>
        <w:tblLayout w:type="fixed"/>
      </w:tblPr>
      <w:tblGrid>
        <w:gridCol w:w="1"/>
        <w:gridCol w:w="40"/>
        <w:gridCol w:w="160"/>
        <w:gridCol w:w="3200"/>
        <w:gridCol w:w="2000"/>
        <w:gridCol w:w="2000"/>
        <w:gridCol w:w="3300"/>
        <w:gridCol w:w="40"/>
        <w:gridCol w:w="1"/>
      </w:tblGrid>
      <w:tr>
        <w:trPr>
          <w:trHeight w:hRule="exact" w:val="0"/>
        </w:trPr>
        <w:tc>
          <w:tcPr>
     </w:tcPr>
          <w:p>
            <w:pPr>
              <w:pStyle w:val="EMPTY_CELL_STYLE"/>
              <w:pageBreakBefore/>
            </w:pPr>
            <w:bookmarkStart w:id="6" w:name="JR_PAGE_ANCHOR_0_7"/>
            <w:bookmarkEnd w:id="6"/>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6"/>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兴业银行天天万利宝稳利5号净值型理财产品E款2020年年度报告</w:t>
            </w: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6"/>
            <w:tcMar>
              <w:top w:w="0" w:type="dxa"/>
              <w:left w:w="0" w:type="dxa"/>
              <w:bottom w:w="0" w:type="dxa"/>
              <w:right w:w="0" w:type="dxa"/>
            </w:tcMar>
            <w:vAlign w:val="center"/>
          </w:tcPr>
          <w:p>
            <w:pPr>
              <w:ind/>
            </w:pPr>
            <w:r>
              <w:rPr>
                <w:rFonts w:ascii="宋体" w:hAnsi="宋体" w:eastAsia="宋体" w:cs="宋体"/>
                <w:color w:val="000000"/>
                <w:sz w:val="21"/>
                <w:b w:val="true"/>
              </w:rPr>
              <w:t xml:space="preserve">5.报告期间关联交易情况</w:t>
            </w: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pPr>
            <w:r>
              <w:rPr>
                <w:rFonts w:ascii="宋体" w:hAnsi="宋体" w:eastAsia="宋体" w:cs="宋体"/>
                <w:color w:val="000000"/>
                <w:sz w:val="20"/>
              </w:rPr>
              <w:t xml:space="preserve">5.1 理财产品在报告期末投资关联方发行、承销的证券的情况</w:t>
            </w:r>
          </w:p>
        </w:tc>
        <w:tc>
          <w:tcPr>
     </w:tcPr>
          <w:p>
            <w:pPr>
              <w:pStyle w:val="EMPTY_CELL_STYLE"/>
            </w:pPr>
          </w:p>
        </w:tc>
        <w:tc>
          <w:tcPr>
     </w:tcPr>
          <w:p>
            <w:pPr>
              <w:pStyle w:val="EMPTY_CELL_STYLE"/>
            </w:pPr>
          </w:p>
        </w:tc>
      </w:tr>
      <w:tr>
        <w:trPr>
          <w:trHeight w:hRule="exact" w:val="7200"/>
        </w:trPr>
        <w:tc>
          <w:tcPr>
     </w:tcPr>
          <w:p>
            <w:pPr>
              <w:pStyle w:val="EMPTY_CELL_STYLE"/>
            </w:pPr>
          </w:p>
        </w:tc>
        <w:tc>
          <w:tcPr>
            <w:gridSpan w:val="6"/>
            <w:tcMar>
              <w:top w:w="0" w:type="dxa"/>
              <w:left w:w="0" w:type="dxa"/>
              <w:bottom w:w="0" w:type="dxa"/>
              <w:right w:w="0" w:type="dxa"/>
            </w:tcMar>
          </w:tcPr>
          <w:tbl>
            <w:tblPr>
              <w:tblLayout w:type="fixed"/>
            </w:tblPr>
            <w:tblGrid>
              <w:gridCol w:w="1800"/>
              <w:gridCol w:w="3000"/>
              <w:gridCol w:w="2800"/>
              <w:gridCol w:w="3100"/>
            </w:tblGrid>
            <w:tr>
              <w:trPr>
                <w:trHeight w:hRule="exact" w:val="600"/>
              </w:trPr>
              <w:tc>
                <w:tcPr>
                  <w:shd w:val="clear" w:color="auto" w:fill="BFBFB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产品代码</w:t>
                        </w:r>
                      </w:p>
                    </w:tc>
                    <w:tc>
                      <w:tcPr>
     </w:tcPr>
                      <w:p>
                        <w:pPr>
                          <w:pStyle w:val="EMPTY_CELL_STYLE"/>
                        </w:pP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资产名称</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资产面额（元）</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承销商/发行人</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9K218055</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15青岛国信PPN001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35,000,000.00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9K218055</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16赣高速PPN001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50,000,000.00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9K218055</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18兴业资产PPN001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50,000,000.00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9K218055</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18江东控股MTN002</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9K218055</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18首创置业MTN002</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9K218055</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18津保投MTN013</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50,000,000.00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9K218055</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18兖矿MTN003</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70,000,000.00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9K218055</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19大同煤矿PPN003</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70,000,000.00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9K218055</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18宁河西PPN001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9K218055</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17景国资MTN002</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9K218055</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18甘国投MTN002</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bl>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pPr>
            <w:r>
              <w:rPr>
                <w:rFonts w:ascii="宋体" w:hAnsi="宋体" w:eastAsia="宋体" w:cs="宋体"/>
                <w:color w:val="000000"/>
                <w:sz w:val="20"/>
              </w:rPr>
              <w:t xml:space="preserve">5.2 理财产品在报告期内其他关联交易</w:t>
            </w:r>
          </w:p>
        </w:tc>
        <w:tc>
          <w:tcPr>
     </w:tcPr>
          <w:p>
            <w:pPr>
              <w:pStyle w:val="EMPTY_CELL_STYLE"/>
            </w:pPr>
          </w:p>
        </w:tc>
        <w:tc>
          <w:tcPr>
     </w:tcPr>
          <w:p>
            <w:pPr>
              <w:pStyle w:val="EMPTY_CELL_STYLE"/>
            </w:pPr>
          </w:p>
        </w:tc>
      </w:tr>
      <w:tr>
        <w:trPr>
          <w:trHeight w:hRule="exact" w:val="600"/>
        </w:trPr>
        <w:tc>
          <w:tcPr>
     </w:tcPr>
          <w:p>
            <w:pPr>
              <w:pStyle w:val="EMPTY_CELL_STYLE"/>
            </w:pPr>
          </w:p>
        </w:tc>
        <w:tc>
          <w:tcPr>
            <w:gridSpan w:val="6"/>
            <w:tcMar>
              <w:top w:w="0" w:type="dxa"/>
              <w:left w:w="0" w:type="dxa"/>
              <w:bottom w:w="0" w:type="dxa"/>
              <w:right w:w="0" w:type="dxa"/>
            </w:tcMar>
          </w:tcPr>
          <w:tbl>
            <w:tblPr>
              <w:tblLayout w:type="fixed"/>
            </w:tblPr>
            <w:tblGrid>
              <w:gridCol w:w="1600"/>
              <w:gridCol w:w="2200"/>
              <w:gridCol w:w="2200"/>
              <w:gridCol w:w="1800"/>
              <w:gridCol w:w="2900"/>
            </w:tblGrid>
            <w:tr>
              <w:trPr>
                <w:trHeight w:hRule="exact" w:val="600"/>
              </w:trPr>
              <w:tc>
                <w:tcPr>
                  <w:shd w:val="clear" w:color="auto" w:fill="BFBFB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5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产品代码</w:t>
                        </w:r>
                      </w:p>
                    </w:tc>
                    <w:tc>
                      <w:tcPr>
     </w:tcPr>
                      <w:p>
                        <w:pPr>
                          <w:pStyle w:val="EMPTY_CELL_STYLE"/>
                        </w:pP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资产名称</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资产面额（元）</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800"/>
                    <w:gridCol w:w="1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交易类型</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900"/>
                    <w:gridCol w:w="29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关联方名称</w:t>
                        </w:r>
                      </w:p>
                    </w:tc>
                  </w:tr>
                </w:tbl>
                <w:p>
                  <w:pPr>
                    <w:pStyle w:val="EMPTY_CELL_STYLE"/>
                  </w:pPr>
                </w:p>
              </w:tc>
            </w:tr>
          </w:tbl>
          <w:p>
            <w:pPr>
              <w:pStyle w:val="EMPTY_CELL_STYLE"/>
            </w:pPr>
          </w:p>
        </w:tc>
        <w:tc>
          <w:tcPr>
     </w:tcPr>
          <w:p>
            <w:pPr>
              <w:pStyle w:val="EMPTY_CELL_STYLE"/>
            </w:pPr>
          </w:p>
        </w:tc>
        <w:tc>
          <w:tcPr>
     </w:tcPr>
          <w:p>
            <w:pPr>
              <w:pStyle w:val="EMPTY_CELL_STYLE"/>
            </w:pPr>
          </w:p>
        </w:tc>
      </w:tr>
      <w:tr>
        <w:trPr>
          <w:trHeight w:hRule="exact" w:val="600"/>
        </w:trPr>
        <w:tc>
          <w:tcPr>
     </w:tcPr>
          <w:p>
            <w:pPr>
              <w:pStyle w:val="EMPTY_CELL_STYLE"/>
            </w:pPr>
          </w:p>
        </w:tc>
        <w:tc>
          <w:tcPr>
            <w:gridSpan w:val="6"/>
            <w:tcMar>
              <w:top w:w="0" w:type="dxa"/>
              <w:left w:w="0" w:type="dxa"/>
              <w:bottom w:w="0" w:type="dxa"/>
              <w:right w:w="0" w:type="dxa"/>
            </w:tcMar>
          </w:tcPr>
          <w:tbl>
            <w:tblPr>
              <w:tblLayout w:type="fixed"/>
            </w:tblPr>
            <w:tblGrid>
              <w:gridCol w:w="10700"/>
              <w:gridCol w:w="10700"/>
            </w:tblGrid>
            <w:tr>
              <w:trPr>
                <w:trHeight w:hRule="exact" w:val="600"/>
              </w:trPr>
              <w:tc>
                <w:tcPr>
                  <w:shd w:val="clear" w:color="auto" w:fill="FFFFFF"/>
                  <w:tcBorders>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06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无</w:t>
                        </w:r>
                      </w:p>
                    </w:tc>
                    <w:tc>
                      <w:tcPr>
     </w:tcPr>
                      <w:p>
                        <w:pPr>
                          <w:pStyle w:val="EMPTY_CELL_STYLE"/>
                        </w:pPr>
                      </w:p>
                    </w:tc>
                  </w:tr>
                </w:tbl>
                <w:p>
                  <w:pPr>
                    <w:pStyle w:val="EMPTY_CELL_STYLE"/>
                  </w:pPr>
                </w:p>
              </w:tc>
            </w:tr>
          </w:tbl>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pPr>
            <w:r>
              <w:rPr>
                <w:rFonts w:ascii="宋体" w:hAnsi="宋体" w:eastAsia="宋体" w:cs="宋体"/>
                <w:color w:val="000000"/>
                <w:sz w:val="20"/>
              </w:rPr>
              <w:t xml:space="preserve">5.3 理财产品在报告期内中的重大关联交易</w:t>
            </w:r>
          </w:p>
        </w:tc>
        <w:tc>
          <w:tcPr>
     </w:tcPr>
          <w:p>
            <w:pPr>
              <w:pStyle w:val="EMPTY_CELL_STYLE"/>
            </w:pPr>
          </w:p>
        </w:tc>
        <w:tc>
          <w:tcPr>
     </w:tcPr>
          <w:p>
            <w:pPr>
              <w:pStyle w:val="EMPTY_CELL_STYLE"/>
            </w:pPr>
          </w:p>
        </w:tc>
      </w:tr>
      <w:tr>
        <w:trPr>
          <w:trHeight w:hRule="exact" w:val="600"/>
        </w:trPr>
        <w:tc>
          <w:tcPr>
     </w:tcPr>
          <w:p>
            <w:pPr>
              <w:pStyle w:val="EMPTY_CELL_STYLE"/>
            </w:pPr>
          </w:p>
        </w:tc>
        <w:tc>
          <w:tcPr>
            <w:gridSpan w:val="6"/>
            <w:tcMar>
              <w:top w:w="0" w:type="dxa"/>
              <w:left w:w="0" w:type="dxa"/>
              <w:bottom w:w="0" w:type="dxa"/>
              <w:right w:w="0" w:type="dxa"/>
            </w:tcMar>
          </w:tcPr>
          <w:tbl>
            <w:tblPr>
              <w:tblLayout w:type="fixed"/>
            </w:tblPr>
            <w:tblGrid>
              <w:gridCol w:w="1600"/>
              <w:gridCol w:w="2200"/>
              <w:gridCol w:w="2200"/>
              <w:gridCol w:w="1800"/>
              <w:gridCol w:w="2900"/>
            </w:tblGrid>
            <w:tr>
              <w:trPr>
                <w:trHeight w:hRule="exact" w:val="600"/>
              </w:trPr>
              <w:tc>
                <w:tcPr>
                  <w:shd w:val="clear" w:color="auto" w:fill="BFBFB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5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产品代码</w:t>
                        </w:r>
                      </w:p>
                    </w:tc>
                    <w:tc>
                      <w:tcPr>
     </w:tcPr>
                      <w:p>
                        <w:pPr>
                          <w:pStyle w:val="EMPTY_CELL_STYLE"/>
                        </w:pP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资产名称</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资产面额（元）</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800"/>
                    <w:gridCol w:w="1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交易类型</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900"/>
                    <w:gridCol w:w="29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关联方名称</w:t>
                        </w:r>
                      </w:p>
                    </w:tc>
                  </w:tr>
                </w:tbl>
                <w:p>
                  <w:pPr>
                    <w:pStyle w:val="EMPTY_CELL_STYLE"/>
                  </w:pPr>
                </w:p>
              </w:tc>
            </w:tr>
          </w:tbl>
          <w:p>
            <w:pPr>
              <w:pStyle w:val="EMPTY_CELL_STYLE"/>
            </w:pPr>
          </w:p>
        </w:tc>
        <w:tc>
          <w:tcPr>
     </w:tcPr>
          <w:p>
            <w:pPr>
              <w:pStyle w:val="EMPTY_CELL_STYLE"/>
            </w:pPr>
          </w:p>
        </w:tc>
        <w:tc>
          <w:tcPr>
     </w:tcPr>
          <w:p>
            <w:pPr>
              <w:pStyle w:val="EMPTY_CELL_STYLE"/>
            </w:pPr>
          </w:p>
        </w:tc>
      </w:tr>
      <w:tr>
        <w:trPr>
          <w:trHeight w:hRule="exact" w:val="600"/>
        </w:trPr>
        <w:tc>
          <w:tcPr>
     </w:tcPr>
          <w:p>
            <w:pPr>
              <w:pStyle w:val="EMPTY_CELL_STYLE"/>
            </w:pPr>
          </w:p>
        </w:tc>
        <w:tc>
          <w:tcPr>
            <w:gridSpan w:val="6"/>
            <w:tcMar>
              <w:top w:w="0" w:type="dxa"/>
              <w:left w:w="0" w:type="dxa"/>
              <w:bottom w:w="0" w:type="dxa"/>
              <w:right w:w="0" w:type="dxa"/>
            </w:tcMar>
          </w:tcPr>
          <w:tbl>
            <w:tblPr>
              <w:tblLayout w:type="fixed"/>
            </w:tblPr>
            <w:tblGrid>
              <w:gridCol w:w="10700"/>
              <w:gridCol w:w="10700"/>
            </w:tblGrid>
            <w:tr>
              <w:trPr>
                <w:trHeight w:hRule="exact" w:val="600"/>
              </w:trPr>
              <w:tc>
                <w:tcPr>
                  <w:shd w:val="clear" w:color="auto" w:fill="FFFFFF"/>
                  <w:tcBorders>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06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无</w:t>
                        </w:r>
                      </w:p>
                    </w:tc>
                    <w:tc>
                      <w:tcPr>
     </w:tcPr>
                      <w:p>
                        <w:pPr>
                          <w:pStyle w:val="EMPTY_CELL_STYLE"/>
                        </w:pPr>
                      </w:p>
                    </w:tc>
                  </w:tr>
                </w:tbl>
                <w:p>
                  <w:pPr>
                    <w:pStyle w:val="EMPTY_CELL_STYLE"/>
                  </w:pPr>
                </w:p>
              </w:tc>
            </w:tr>
          </w:tbl>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gridSpan w:val="6"/>
            <w:tcMar>
              <w:top w:w="0" w:type="dxa"/>
              <w:left w:w="0" w:type="dxa"/>
              <w:bottom w:w="0" w:type="dxa"/>
              <w:right w:w="0" w:type="dxa"/>
            </w:tcMar>
            <w:vAlign w:val="center"/>
          </w:tcPr>
          <w:p>
            <w:pPr>
              <w:ind/>
              <w:jc w:val="left"/>
            </w:pPr>
            <w:r>
              <w:rPr>
                <w:rFonts w:ascii="宋体" w:hAnsi="宋体" w:eastAsia="宋体" w:cs="宋体"/>
                <w:color w:val="000000"/>
                <w:sz w:val="21"/>
                <w:b w:val="true"/>
              </w:rPr>
              <w:t xml:space="preserve">6.投资账户信息</w:t>
            </w:r>
          </w:p>
        </w:tc>
        <w:tc>
          <w:tcPr>
     </w:tcPr>
          <w:p>
            <w:pPr>
              <w:pStyle w:val="EMPTY_CELL_STYLE"/>
            </w:pPr>
          </w:p>
        </w:tc>
      </w:tr>
      <w:tr>
        <w:trPr>
          <w:trHeight w:hRule="exact" w:val="1200"/>
        </w:trPr>
        <w:tc>
          <w:tcPr>
     </w:tcPr>
          <w:p>
            <w:pPr>
              <w:pStyle w:val="EMPTY_CELL_STYLE"/>
            </w:pPr>
          </w:p>
        </w:tc>
        <w:tc>
          <w:tcPr>
     </w:tcPr>
          <w:p>
            <w:pPr>
              <w:pStyle w:val="EMPTY_CELL_STYLE"/>
            </w:pPr>
          </w:p>
        </w:tc>
        <w:tc>
          <w:tcPr>
            <w:gridSpan w:val="6"/>
            <w:shd w:val="clear" w:color="auto" w:fill="FFFFFF"/>
            <w:tcMar>
              <w:top w:w="0" w:type="dxa"/>
              <w:left w:w="0" w:type="dxa"/>
              <w:bottom w:w="0" w:type="dxa"/>
              <w:right w:w="0" w:type="dxa"/>
            </w:tcMar>
          </w:tcPr>
          <w:tbl>
            <w:tblPr>
              <w:tblLayout w:type="fixed"/>
            </w:tblPr>
            <w:tblGrid>
              <w:gridCol w:w="1000"/>
              <w:gridCol w:w="2200"/>
              <w:gridCol w:w="3000"/>
              <w:gridCol w:w="4500"/>
            </w:tblGrid>
            <w:tr>
              <w:trPr>
                <w:trHeight w:hRule="exact" w:val="600"/>
              </w:trPr>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1000"/>
                    <w:gridCol w:w="10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序号</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账户类型</w:t>
                        </w:r>
                      </w:p>
                    </w:tc>
                  </w:tr>
                </w:tbl>
                <w:p>
                  <w:pPr>
                    <w:pStyle w:val="EMPTY_CELL_STYLE"/>
                  </w:pPr>
                </w:p>
              </w:tc>
              <w:tc>
                <w:tcPr>
                  <w:shd w:val="clear" w:color="auto" w:fill="FFFFFF"/>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账户编号</w:t>
                        </w:r>
                      </w:p>
                    </w:tc>
                  </w:tr>
                </w:tbl>
                <w:p>
                  <w:pPr>
                    <w:pStyle w:val="EMPTY_CELL_STYLE"/>
                  </w:pPr>
                </w:p>
              </w:tc>
              <w:tc>
                <w:tcPr>
                  <w:shd w:val="clear" w:color="auto" w:fill="B3B4B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4500"/>
                    <w:gridCol w:w="45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账户名称</w:t>
                        </w:r>
                      </w:p>
                    </w:tc>
                  </w:tr>
                </w:tbl>
                <w:p>
                  <w:pPr>
                    <w:pStyle w:val="EMPTY_CELL_STYLE"/>
                  </w:pPr>
                </w:p>
              </w:tc>
            </w:tr>
            <w:tr>
              <w:trPr>
                <w:trHeight w:hRule="exact" w:val="600"/>
              </w:trPr>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000"/>
                    <w:gridCol w:w="1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托管账户</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051010100100849068</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4500"/>
                    <w:gridCol w:w="45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兴业理财托管专户天天万利宝稳利5号E款</w:t>
                        </w:r>
                      </w:p>
                    </w:tc>
                  </w:tr>
                </w:tbl>
                <w:p>
                  <w:pPr>
                    <w:pStyle w:val="EMPTY_CELL_STYLE"/>
                  </w:pPr>
                </w:p>
              </w:tc>
            </w:tr>
          </w:tbl>
          <w:p>
            <w:pPr>
              <w:pStyle w:val="EMPTY_CELL_STYLE"/>
            </w:pPr>
          </w:p>
        </w:tc>
        <w:tc>
          <w:tcPr>
     </w:tcPr>
          <w:p>
            <w:pPr>
              <w:pStyle w:val="EMPTY_CELL_STYLE"/>
            </w:pPr>
          </w:p>
        </w:tc>
      </w:tr>
      <w:tr>
        <w:trPr>
          <w:trHeight w:hRule="exact" w:val="12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7/</w:t>
            </w:r>
          </w:p>
        </w:tc>
        <w:tc>
          <w:tcPr>
            <w:tcMar>
              <w:top w:w="0" w:type="dxa"/>
              <w:left w:w="0" w:type="dxa"/>
              <w:bottom w:w="0" w:type="dxa"/>
              <w:right w:w="0" w:type="dxa"/>
            </w:tcMar>
            <w:vAlign w:val="top"/>
          </w:tcPr>
          <w:p>
            <w:pPr>
              <w:ind/>
              <w:jc w:val="left"/>
            </w:pPr>
            <w:r>
              <w:rPr>
                <w:rFonts w:ascii="SansSerif" w:hAnsi="SansSerif" w:eastAsia="SansSerif" w:cs="SansSerif"/>
                <w:color w:val="000000"/>
                <w:sz w:val="18"/>
              </w:rPr>
              <w:t xml:space="preserve">8</w:t>
            </w:r>
          </w:p>
        </w:tc>
        <w:tc>
          <w:tcPr>
     </w:tcPr>
          <w:p>
            <w:pPr>
              <w:pStyle w:val="EMPTY_CELL_STYLE"/>
            </w:pPr>
          </w:p>
        </w:tc>
        <w:tc>
          <w:tcPr>
     </w:tcPr>
          <w:p>
            <w:pPr>
              <w:pStyle w:val="EMPTY_CELL_STYLE"/>
            </w:pPr>
          </w:p>
        </w:tc>
        <w:tc>
          <w:tcPr>
     </w:tcPr>
          <w:p>
            <w:pPr>
              <w:pStyle w:val="EMPTY_CELL_STYLE"/>
            </w:pPr>
          </w:p>
        </w:tc>
      </w:tr>
    </w:tbl>
    <w:tbl>
      <w:tblPr>
        <w:tblLayout w:type="fixed"/>
      </w:tblPr>
      <w:tblGrid>
        <w:gridCol w:w="1"/>
        <w:gridCol w:w="3400"/>
        <w:gridCol w:w="2000"/>
        <w:gridCol w:w="2000"/>
        <w:gridCol w:w="3300"/>
        <w:gridCol w:w="1"/>
      </w:tblGrid>
      <w:tr>
        <w:trPr>
          <w:trHeight w:hRule="exact" w:val="0"/>
        </w:trPr>
        <w:tc>
          <w:tcPr>
     </w:tcPr>
          <w:p>
            <w:pPr>
              <w:pStyle w:val="EMPTY_CELL_STYLE"/>
              <w:pageBreakBefore/>
            </w:pPr>
            <w:bookmarkStart w:id="7" w:name="JR_PAGE_ANCHOR_0_8"/>
            <w:bookmarkEnd w:id="7"/>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4"/>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兴业银行天天万利宝稳利5号净值型理财产品E款2020年年度报告</w:t>
            </w: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4"/>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4"/>
            <w:tcMar>
              <w:top w:w="0" w:type="dxa"/>
              <w:left w:w="0" w:type="dxa"/>
              <w:bottom w:w="0" w:type="dxa"/>
              <w:right w:w="0" w:type="dxa"/>
            </w:tcMar>
            <w:vAlign w:val="center"/>
          </w:tcPr>
          <w:p>
            <w:pPr>
              <w:ind/>
              <w:jc w:val="right"/>
            </w:pPr>
            <w:r>
              <w:rPr>
                <w:rFonts w:ascii="宋体" w:hAnsi="宋体" w:eastAsia="宋体" w:cs="宋体"/>
                <w:color w:val="000000"/>
                <w:sz w:val="21"/>
              </w:rPr>
              <w:t xml:space="preserve">兴业银行股份有限公司</w:t>
            </w:r>
          </w:p>
        </w:tc>
        <w:tc>
          <w:tcPr>
     </w:tcPr>
          <w:p>
            <w:pPr>
              <w:pStyle w:val="EMPTY_CELL_STYLE"/>
            </w:pPr>
          </w:p>
        </w:tc>
      </w:tr>
      <w:tr>
        <w:trPr>
          <w:trHeight w:hRule="atLeast" w:val="400"/>
        </w:trPr>
        <w:tc>
          <w:tcPr>
     </w:tcPr>
          <w:p>
            <w:pPr>
              <w:pStyle w:val="EMPTY_CELL_STYLE"/>
            </w:pPr>
          </w:p>
        </w:tc>
        <w:tc>
          <w:tcPr>
            <w:gridSpan w:val="4"/>
            <w:tcMar>
              <w:top w:w="0" w:type="dxa"/>
              <w:left w:w="0" w:type="dxa"/>
              <w:bottom w:w="0" w:type="dxa"/>
              <w:right w:w="0" w:type="dxa"/>
            </w:tcMar>
            <w:vAlign w:val="top"/>
          </w:tcPr>
          <w:p>
            <w:pPr>
              <w:ind/>
              <w:jc w:val="right"/>
            </w:pPr>
            <w:r>
              <w:rPr>
                <w:rFonts w:ascii="宋体" w:hAnsi="宋体" w:eastAsia="宋体" w:cs="宋体"/>
                <w:color w:val="000000"/>
                <w:sz w:val="21"/>
              </w:rPr>
              <w:t xml:space="preserve">2021年5月14日</w:t>
            </w:r>
          </w:p>
        </w:tc>
        <w:tc>
          <w:tcPr>
     </w:tcPr>
          <w:p>
            <w:pPr>
              <w:pStyle w:val="EMPTY_CELL_STYLE"/>
            </w:pPr>
          </w:p>
        </w:tc>
      </w:tr>
      <w:tr>
        <w:trPr>
          <w:trHeight w:hRule="exact" w:val="13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8/</w:t>
            </w:r>
          </w:p>
        </w:tc>
        <w:tc>
          <w:tcPr>
            <w:tcMar>
              <w:top w:w="0" w:type="dxa"/>
              <w:left w:w="0" w:type="dxa"/>
              <w:bottom w:w="0" w:type="dxa"/>
              <w:right w:w="0" w:type="dxa"/>
            </w:tcMar>
            <w:vAlign w:val="top"/>
          </w:tcPr>
          <w:p>
            <w:pPr>
              <w:ind/>
              <w:jc w:val="left"/>
            </w:pPr>
            <w:r>
              <w:rPr>
                <w:rFonts w:ascii="SansSerif" w:hAnsi="SansSerif" w:eastAsia="SansSerif" w:cs="SansSerif"/>
                <w:color w:val="000000"/>
                <w:sz w:val="18"/>
              </w:rPr>
              <w:t xml:space="preserve">8</w:t>
            </w:r>
          </w:p>
        </w:tc>
        <w:tc>
          <w:tcPr>
     </w:tcPr>
          <w:p>
            <w:pPr>
              <w:pStyle w:val="EMPTY_CELL_STYLE"/>
            </w:pPr>
          </w:p>
        </w:tc>
        <w:tc>
          <w:tcPr>
     </w:tcPr>
          <w:p>
            <w:pPr>
              <w:pStyle w:val="EMPTY_CELL_STYLE"/>
            </w:pPr>
          </w:p>
        </w:tc>
      </w:tr>
    </w:tbl>
    <w:sectPr>
      <w:pgSz w:w="11900" w:h="16840" w:orient="portrait"/>
      <w:pgMar w:top="600" w:right="600" w:bottom="240" w:left="600" w:header="0" w:footer="0" w:gutter="0"/>
      <w:docGrid w:linePitch="360"/>
    </w:sectPr>
  </w:body>
</w:document>
</file>

<file path=word/settings.xml><?xml version="1.0" encoding="utf-8"?>
<w:settings xmlns:w="http://schemas.openxmlformats.org/wordprocessingml/2006/main">
  <w:defaultTabStop w:val="800"/>
</w:settings>
</file>

<file path=word/styles.xml><?xml version="1.0" encoding="utf-8"?>
<w:styles xmlns:r="http://schemas.openxmlformats.org/officeDocument/2006/relationships" xmlns:w="http://schemas.openxmlformats.org/wordprocessingml/2006/main">
  <w:docDefaults>
    <w:rPrDefault>
  </w:rPrDefault>
    <w:pPrDefault>
      <w:pPr>
        <w:spacing w:line="240"/>
      </w:pPr>
    </w:pPrDefault>
  </w:docDefaults>
  <w:style w:type="paragraph" w:styleId="EMPTY_CELL_STYLE">
    <w:name w:val="EMPTY_CELL_STYLE"/>
    <w:qFormat/>
    <w:pPr>
      <w:ind/>
    </w:pPr>
    <w:rPr>
      <w:rFonts w:ascii="SansSerif" w:hAnsi="SansSerif" w:eastAsia="SansSerif" w:cs="SansSerif"/>
      <w:color w:val="000000"/>
      <w:sz w:val="1"/>
    </w:rPr>
  </w:style>
  <w:style w:type="paragraph" w:styleId="Table_TH">
    <w:name w:val="Table_TH"/>
    <w:qFormat/>
    <w:pPr>
      <w:ind/>
    </w:pPr>
    <w:rPr>
      <w:rFonts w:ascii="SansSerif" w:hAnsi="SansSerif" w:eastAsia="SansSerif" w:cs="SansSerif"/>
      <w:color w:val="000000"/>
      <w:sz w:val="20"/>
    </w:rPr>
  </w:style>
  <w:style w:type="paragraph" w:styleId="Table_CH">
    <w:name w:val="Table_CH"/>
    <w:qFormat/>
    <w:pPr>
      <w:ind/>
    </w:pPr>
    <w:rPr>
      <w:rFonts w:ascii="SansSerif" w:hAnsi="SansSerif" w:eastAsia="SansSerif" w:cs="SansSerif"/>
      <w:color w:val="000000"/>
      <w:sz w:val="20"/>
    </w:rPr>
  </w:style>
  <w:style w:type="paragraph" w:styleId="Table_TD">
    <w:name w:val="Table_TD"/>
    <w:qFormat/>
    <w:pPr>
      <w:ind/>
    </w:pPr>
    <w:rPr>
      <w:rFonts w:ascii="SansSerif" w:hAnsi="SansSerif" w:eastAsia="SansSerif" w:cs="SansSerif"/>
      <w:color w:val="000000"/>
      <w:sz w:val="20"/>
    </w:rPr>
  </w:style>
  <w:style w:type="paragraph" w:styleId="Table_CD">
    <w:name w:val="Table_CD"/>
    <w:qFormat/>
    <w:pPr>
      <w:ind/>
    </w:pPr>
    <w:rPr>
      <w:rFonts w:ascii="SansSerif" w:hAnsi="SansSerif" w:eastAsia="SansSerif" w:cs="SansSerif"/>
      <w:color w:val="000000"/>
      <w:sz w:val="20"/>
    </w:rPr>
  </w:style>
  <w:style w:type="paragraph" w:styleId="Table 3_TH">
    <w:name w:val="Table 3_TH"/>
    <w:qFormat/>
    <w:pPr>
      <w:ind/>
    </w:pPr>
    <w:rPr>
      <w:rFonts w:ascii="SansSerif" w:hAnsi="SansSerif" w:eastAsia="SansSerif" w:cs="SansSerif"/>
      <w:color w:val="000000"/>
      <w:sz w:val="20"/>
    </w:rPr>
  </w:style>
  <w:style w:type="paragraph" w:styleId="Table 3_CH">
    <w:name w:val="Table 3_CH"/>
    <w:qFormat/>
    <w:pPr>
      <w:ind/>
    </w:pPr>
    <w:rPr>
      <w:rFonts w:ascii="SansSerif" w:hAnsi="SansSerif" w:eastAsia="SansSerif" w:cs="SansSerif"/>
      <w:color w:val="000000"/>
      <w:sz w:val="20"/>
    </w:rPr>
  </w:style>
  <w:style w:type="paragraph" w:styleId="Table 3_TD">
    <w:name w:val="Table 3_TD"/>
    <w:qFormat/>
    <w:pPr>
      <w:ind/>
    </w:pPr>
    <w:rPr>
      <w:rFonts w:ascii="SansSerif" w:hAnsi="SansSerif" w:eastAsia="SansSerif" w:cs="SansSerif"/>
      <w:color w:val="000000"/>
      <w:sz w:val="20"/>
    </w:rPr>
  </w:style>
  <w:style w:type="paragraph" w:styleId="Table 4_TH">
    <w:name w:val="Table 4_TH"/>
    <w:qFormat/>
    <w:pPr>
      <w:ind/>
    </w:pPr>
    <w:rPr>
      <w:rFonts w:ascii="SansSerif" w:hAnsi="SansSerif" w:eastAsia="SansSerif" w:cs="SansSerif"/>
      <w:color w:val="000000"/>
      <w:sz w:val="20"/>
    </w:rPr>
  </w:style>
  <w:style w:type="paragraph" w:styleId="Table 4_CH">
    <w:name w:val="Table 4_CH"/>
    <w:qFormat/>
    <w:pPr>
      <w:ind/>
    </w:pPr>
    <w:rPr>
      <w:rFonts w:ascii="SansSerif" w:hAnsi="SansSerif" w:eastAsia="SansSerif" w:cs="SansSerif"/>
      <w:color w:val="000000"/>
      <w:sz w:val="20"/>
    </w:rPr>
  </w:style>
  <w:style w:type="paragraph" w:styleId="Table 4_TD">
    <w:name w:val="Table 4_TD"/>
    <w:qFormat/>
    <w:pPr>
      <w:ind/>
    </w:pPr>
    <w:rPr>
      <w:rFonts w:ascii="SansSerif" w:hAnsi="SansSerif" w:eastAsia="SansSerif" w:cs="SansSerif"/>
      <w:color w:val="000000"/>
      <w:sz w:val="20"/>
    </w:rPr>
  </w:style>
  <w:style w:type="paragraph" w:styleId="Table 1_TH">
    <w:name w:val="Table 1_TH"/>
    <w:qFormat/>
    <w:pPr>
      <w:ind/>
    </w:pPr>
    <w:rPr>
      <w:rFonts w:ascii="SansSerif" w:hAnsi="SansSerif" w:eastAsia="SansSerif" w:cs="SansSerif"/>
      <w:color w:val="000000"/>
      <w:sz w:val="20"/>
    </w:rPr>
  </w:style>
  <w:style w:type="paragraph" w:styleId="Table 1_CH">
    <w:name w:val="Table 1_CH"/>
    <w:qFormat/>
    <w:pPr>
      <w:ind/>
    </w:pPr>
    <w:rPr>
      <w:rFonts w:ascii="SansSerif" w:hAnsi="SansSerif" w:eastAsia="SansSerif" w:cs="SansSerif"/>
      <w:color w:val="000000"/>
      <w:sz w:val="20"/>
    </w:rPr>
  </w:style>
  <w:style w:type="paragraph" w:styleId="Table 1_TD">
    <w:name w:val="Table 1_TD"/>
    <w:qFormat/>
    <w:pPr>
      <w:ind/>
    </w:pPr>
    <w:rPr>
      <w:rFonts w:ascii="SansSerif" w:hAnsi="SansSerif" w:eastAsia="SansSerif" w:cs="SansSerif"/>
      <w:color w:val="000000"/>
      <w:sz w:val="20"/>
    </w:rPr>
  </w:style>
  <w:style w:type="paragraph" w:styleId="Table 2_TH">
    <w:name w:val="Table 2_TH"/>
    <w:qFormat/>
    <w:pPr>
      <w:ind/>
    </w:pPr>
    <w:rPr>
      <w:rFonts w:ascii="SansSerif" w:hAnsi="SansSerif" w:eastAsia="SansSerif" w:cs="SansSerif"/>
      <w:color w:val="000000"/>
      <w:sz w:val="20"/>
    </w:rPr>
  </w:style>
  <w:style w:type="paragraph" w:styleId="Table 2_CH">
    <w:name w:val="Table 2_CH"/>
    <w:qFormat/>
    <w:pPr>
      <w:ind/>
    </w:pPr>
    <w:rPr>
      <w:rFonts w:ascii="SansSerif" w:hAnsi="SansSerif" w:eastAsia="SansSerif" w:cs="SansSerif"/>
      <w:color w:val="000000"/>
      <w:sz w:val="20"/>
    </w:rPr>
  </w:style>
  <w:style w:type="paragraph" w:styleId="Table 2_TD">
    <w:name w:val="Table 2_TD"/>
    <w:qFormat/>
    <w:pPr>
      <w:ind/>
    </w:pPr>
    <w:rPr>
      <w:rFonts w:ascii="SansSerif" w:hAnsi="SansSerif" w:eastAsia="SansSerif" w:cs="SansSerif"/>
      <w:color w:val="000000"/>
      <w:sz w:val="20"/>
    </w:rPr>
  </w:style>
  <w:style w:type="paragraph" w:styleId="Table 5_TH">
    <w:name w:val="Table 5_TH"/>
    <w:qFormat/>
    <w:pPr>
      <w:ind/>
    </w:pPr>
    <w:rPr>
      <w:rFonts w:ascii="SansSerif" w:hAnsi="SansSerif" w:eastAsia="SansSerif" w:cs="SansSerif"/>
      <w:color w:val="000000"/>
      <w:sz w:val="20"/>
    </w:rPr>
  </w:style>
  <w:style w:type="paragraph" w:styleId="Table 5_CH">
    <w:name w:val="Table 5_CH"/>
    <w:qFormat/>
    <w:pPr>
      <w:ind/>
    </w:pPr>
    <w:rPr>
      <w:rFonts w:ascii="SansSerif" w:hAnsi="SansSerif" w:eastAsia="SansSerif" w:cs="SansSerif"/>
      <w:color w:val="000000"/>
      <w:sz w:val="20"/>
    </w:rPr>
  </w:style>
  <w:style w:type="paragraph" w:styleId="Table 5_TD">
    <w:name w:val="Table 5_TD"/>
    <w:qFormat/>
    <w:pPr>
      <w:ind/>
    </w:pPr>
    <w:rPr>
      <w:rFonts w:ascii="SansSerif" w:hAnsi="SansSerif" w:eastAsia="SansSerif" w:cs="SansSerif"/>
      <w:color w:val="000000"/>
      <w:sz w:val="20"/>
    </w:rPr>
  </w:style>
  <w:style w:type="paragraph" w:styleId="Table 6_TH">
    <w:name w:val="Table 6_TH"/>
    <w:qFormat/>
    <w:pPr>
      <w:ind/>
    </w:pPr>
    <w:rPr>
      <w:rFonts w:ascii="SansSerif" w:hAnsi="SansSerif" w:eastAsia="SansSerif" w:cs="SansSerif"/>
      <w:color w:val="000000"/>
      <w:sz w:val="20"/>
    </w:rPr>
  </w:style>
  <w:style w:type="paragraph" w:styleId="Table 6_CH">
    <w:name w:val="Table 6_CH"/>
    <w:qFormat/>
    <w:pPr>
      <w:ind/>
    </w:pPr>
    <w:rPr>
      <w:rFonts w:ascii="SansSerif" w:hAnsi="SansSerif" w:eastAsia="SansSerif" w:cs="SansSerif"/>
      <w:color w:val="000000"/>
      <w:sz w:val="20"/>
    </w:rPr>
  </w:style>
  <w:style w:type="paragraph" w:styleId="Table 6_TD">
    <w:name w:val="Table 6_TD"/>
    <w:qFormat/>
    <w:pPr>
      <w:ind/>
    </w:pPr>
    <w:rPr>
      <w:rFonts w:ascii="SansSerif" w:hAnsi="SansSerif" w:eastAsia="SansSerif" w:cs="SansSerif"/>
      <w:color w:val="000000"/>
      <w:sz w:val="20"/>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s>

</file>

<file path=docProps/app.xml><?xml version="1.0" encoding="utf-8"?>
<Properties xmlns="http://schemas.openxmlformats.org/officeDocument/2006/extended-properties">
  <Application>JasperReports Library version 6.4.3</Applicat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coreProperties>
</file>