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天天万利宝稳利4号净值型理财产品A款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天天万利宝稳利4号净值型理财产品A款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2,461,442,398.87份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3.95%-4.45%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产品9K218062自投资周期开始日以来，累计净值增长率为2.0250%，年化累计净值增长率为3.7710%。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1.02025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1.09087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2,511,285,977.50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六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天-同业借款20200707001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粤-同业借款20200812001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云南信托-2020玺悦15号单一资金信托（太原分行 西山煤电）</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豫-同业借款20200717001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上海银行大额存单20190327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皖-同业借款20200717001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京-同业借款20200806002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云南信托-临海市国有资产投资控股集团有限公司（杭州分行）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051010100100735186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兴业银行理财托管专户天天万利宝稳利4号A款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