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产品9K218071自起息日以来，累计净值增长率为4.9830%，年化累计净值增长率为4.6280%。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1.04983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1.04983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3,845,137,146.70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郝彦君先生，自2018年4月加入兴业银行以来，先后在固定收益投资部门从事利率债交易组合管理、理财产品管理工作，拥有4年债券投资和交易经验。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92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20鄂湖北联投ZR001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华润信托-浙江省浙商资产管理有限公司四期（杭州分行）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20滇投资控股ZR002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 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华润信托-兴业中建四局应收账款5号-中国建筑第四工程局有限公司（广州分行）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16渝保税港MTN001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20兰花CP001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20胶州港CP001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18桂交投MTN001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