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兴业银行天天万利宝稳利5号净值型理财产品P款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兴业银行天天万利宝稳利5号净值型理财产品P款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3,356,447,000份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2,725,349,000.00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稳利增盈优选7号B(私行专属，名单制销售)</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631,098,000.00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产品9K219058自起息日以来，累计净值增长率为3.0350%，年化累计净值增长率为6.3301%。</w:t>
              <w:br/>
              <w:t xml:space="preserve">产品9K219158自起息日以来，累计净值增长率为3.0260%，年化累计净值增长率为6.3114%。</w:t>
              <w:br/>
              <w:t xml:space="preserve">产品9K219258自起息日以来，累计净值增长率为3.0740%，年化累计净值增长率为6.4115%。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3,458,315,673.91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2,807,817,524.27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650,498,149.64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2020年四季度，国内经济增速延续改善。政策方面，货币政策在信用事件出现后短期略有放松，银行间资金利率显著回落。债市方面，债券市场收益先上后下，处于熊市反弹的阶段。股市方面，市场震荡上行，整体仍处于牛市格局。本报告期内，本组合增持了部分含权资产和固收资产，有效增厚了组合收益。</w:t>
              <w:br/>
              <w:t xml:space="preserve">    展望2021年一季度，经济改善的趋势预计仍能延续，且由于基数因素将有所加快。货币政策方面，春节前预计宽松为主，春节后或略有收紧。综合来看，债券市场的牛市仍未到来，但一季度或有交易性机会。股市方面，仍处于结构性牛市，需要深度挖掘相关含权资产的投资机会。</w:t>
              <w:br/>
              <w:t xml:space="preserve">    从子板块而言，中短信用债的票息价值值得重视，利率债存在阶段性交易机会，顺周期、港股相关的含权资产或有机会。下一阶段，我们将继续保持审慎严谨的态度，进一步优化投资组合，争取为投资人提供稳健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报告期末本产品债券回购融资余额未超过净资产规模的100%，本产品总资产未超过该产品净资产规模的200%，符合产品协议对本产品杠杆比例的要求。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20国开15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20闽漳州城投ZR001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20贵水投水务ZR001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20晋能集团ZR003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云南信托-（珠海九洲控股集团有限公司 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20晋能集团002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20江苏银行CD117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15,520,500.00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20西海01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18中交建融MTN001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18西永MTN001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20榆林能源MTN001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20港兴港投SCP002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051010100100875474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兴业理财托管专户天天万利宝稳利5号净值型P款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