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4,370,918,186.22份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产品9K220003自起息日以来，累计净值增长率为7.7230%，年化累计净值增长率为12.0466%。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1.07723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1.07723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4,708,471,641.84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398,803,589.23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汇添富绝对收益策略A（000762）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112,527,381.85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20宝武集团MTN001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45,444,273.83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22,375,669.00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43,222,191.43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87,564,798.60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20江苏银行CD070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