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6,139,863,249.55份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产品9K220007自起息日以来，累计净值增长率为3.5090%，年化累计净值增长率为13.6254%。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6,355,286,425.22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br/>
              <w:t xml:space="preserve">    张浩立,同济大学工学学士、同济大学工学硕士、纽约大学金融硕士，2020年加入兴银理财，FOF投研经验5年。曾任平安资产管理有限公司FOF投资经理。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20民生银行CD213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20浦发银行CD160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海富通安益对冲A( 008831.OF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144,833,500.96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85,697,829.46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易方达蓝筹精选（005827.OF）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37,934,012.57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79,686,144.61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19义市02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20湖北文旅(疫情防控债)CP001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20青岛海湾(疫情防控债)SCP001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20津渤海SCP003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