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兴银理财增盈优选11号净值型理财产品</w:t>
              <w:br/>
              <w:t xml:space="preserve">2020年年度报告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报告送出日期：2021年5月14日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理财托管机构报告</w:t>
              <w:br/>
              <w:t xml:space="preserve">§ 七. 审计报告</w:t>
              <w:br/>
              <w:t xml:space="preserve">§ 八.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Z7002020000120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724,668,657.49份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4.00%-6.00%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498,014,909.12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增盈优选11号B(私行专属)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226,653,748.37</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24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产品9K220911自起息日以来，累计净值增长率为1.3480%，年化累计净值增长率为5.0206%。</w:t>
              <w:br/>
              <w:t xml:space="preserve">产品9K220921自起息日以来，累计净值增长率为1.3400%，年化累计净值增长率为4.9908%。</w:t>
              <w:br/>
              <w:t xml:space="preserve">产品9K220931自起息日以来，累计净值增长率为1.3670%，年化累计净值增长率为5.0914%。</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734,438,315.25</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1.01340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504,686,973.70</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2020年12月31日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1.01367</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229,751,341.55</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2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罗琦先生，上海财经大学硕士，9年券商和银行债券投资交易经验。2019年加入兴业银行资管，担任债券投资经理，目前管理多只银行净值型理财产品。投资风格稳健，注重各类资产风险收益比，善于利用各类策略获取超额收益。</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6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2021年宏观展望：2021年，预计出口和消费改善带动经济回暖，市场对GDP增速反弹预期在9%左右，出口增长有望达11-12%，随着经济复苏，居民收入和信心进一步好转，提振国内消费。考虑到明年政策支持力度减弱，房地产和基建投资走弱，但企业营收改善有望拉动制造业投资明显反弹。政策更加关注防风险和控杠杆，宽松政策逐步退出。在经济逐渐回升以后，信用政策已经有所控制，房地产调控进一步收紧，利率大幅抬升。2021年大概率会延续这一趋势，政策偏向防风险、控杠杆，经济基本面见顶回落。政策收缩后，之前信用宽松“盖住”的债务风险会有增加，推升的资产价格会有回调压力，内生利率水平会逐渐趋于回落。</w:t>
              <w:br/>
              <w:t xml:space="preserve">    2021年债券展望：2021年顺周期力量接棒推动经济修复是主背景，资金不缺不溢，利率供求有所好转，债市在短期逆风中孕育中期转机，从社融、经济、通胀等走势看，债市转折机会尚需等待，等待存单“锚”切换到资金“锚”，2021年债市可能重演2019年走势，波动空间有限，1季度末到2季度是转机敏感时点，全年10年国债区间3-3.4%；信用面临低利差难度。</w:t>
              <w:br/>
              <w:t xml:space="preserve">    2021年投资展望：（1）久期策略：2021年经济和利率大概率前高后低。稳利产品在上半年会采取较为保守的票息策略，应对市场的调整；若基本面出现复苏乏力的迹象，产品将左侧布局，拉长久期，以把握下半年的交易性机会。（2）杠杆策略：全年资金宽松空间不大，但考虑到目前套息效果尚可，2021年杠杆将维持中性水平。（3）信用挖掘策略：2020年信用利差具有调整压力，稳利产品信用债投资将向中高等级倾斜。</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3380"/>
        <w:gridCol w:w="2000"/>
        <w:gridCol w:w="2000"/>
        <w:gridCol w:w="330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理财托管机构报告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00"/>
        </w:trPr>
        <w:tc>
          <w:tcPr>
     </w:tcPr>
          <w:p>
            <w:pPr>
              <w:pStyle w:val="EMPTY_CELL_STYLE"/>
            </w:pPr>
          </w:p>
        </w:tc>
        <w:tc>
          <w:tcPr>
     </w:tcPr>
          <w:p>
            <w:pPr>
              <w:pStyle w:val="EMPTY_CELL_STYLE"/>
            </w:pPr>
          </w:p>
        </w:tc>
        <w:tc>
          <w:tcPr>
            <w:gridSpan w:val="5"/>
            <w:tcMar>
              <w:top w:w="0" w:type="dxa"/>
              <w:left w:w="0" w:type="dxa"/>
              <w:bottom w:w="0" w:type="dxa"/>
              <w:right w:w="0" w:type="dxa"/>
            </w:tcMar>
            <w:vAlign w:val="top"/>
          </w:tcPr>
          <w:p>
            <w:pPr>
              <w:ind/>
              <w:jc w:val="left"/>
              <w:spacing w:lineRule="exact" w:line="320" w:after="0" w:before="0"/>
            </w:pPr>
            <w:r>
              <w:rPr>
                <w:rFonts w:ascii="宋体" w:hAnsi="宋体" w:eastAsia="宋体" w:cs="宋体"/>
                <w:color w:val="000000"/>
                <w:sz w:val="21"/>
              </w:rPr>
              <w:br/>
              <w:t xml:space="preserve">    报告期内，托管人严格遵守《商业银行理财业务监督管理办法》及相关法律法规规定、理财产品托管协议约定，诚实信用、谨慎勤勉地履行了托管人义务，不存在损害理财产品投资者利益的行为。</w:t>
              <w:br/>
              <w:t xml:space="preserve">    报告期内，托管人根据国家有关法律法规规定、理财产品托管协议的约定，对管理人在本理财产品的投资运作、资产净值的计算、收益的计算、理财产品费用开支等方面进行了必要的监督、复核和审查，未发现其存在任何损害本理财产品投资者利益的行为。</w:t>
              <w:br/>
              <w:t xml:space="preserve">    托管人认真复核了本报告中的净值表现、投资组合报告等内容，认为其真实、准确和完整，不存在虚假记载、误导性陈述或者重大遗漏。</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七. 审计报告</w:t>
            </w:r>
          </w:p>
        </w:tc>
        <w:tc>
          <w:tcPr>
     </w:tcPr>
          <w:p>
            <w:pPr>
              <w:pStyle w:val="EMPTY_CELL_STYLE"/>
            </w:pPr>
          </w:p>
        </w:tc>
        <w:tc>
          <w:tcPr>
     </w:tcPr>
          <w:p>
            <w:pPr>
              <w:pStyle w:val="EMPTY_CELL_STYLE"/>
            </w:pPr>
          </w:p>
        </w:tc>
      </w:tr>
      <w:tr>
        <w:trPr>
          <w:trHeight w:hRule="exact" w:val="4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480"/>
        </w:trPr>
        <w:tc>
          <w:tcPr>
     </w:tcPr>
          <w:p>
            <w:pPr>
              <w:pStyle w:val="EMPTY_CELL_STYLE"/>
            </w:pPr>
          </w:p>
        </w:tc>
        <w:tc>
          <w:tcPr>
            <w:gridSpan w:val="5"/>
            <w:tcMar>
              <w:top w:w="0" w:type="dxa"/>
              <w:left w:w="0" w:type="dxa"/>
              <w:bottom w:w="0" w:type="dxa"/>
              <w:right w:w="0" w:type="dxa"/>
            </w:tcMar>
            <w:vAlign w:val="center"/>
          </w:tcPr>
          <w:p>
            <w:pPr>
              <w:ind/>
              <w:jc w:val="left"/>
              <w:spacing w:lineRule="exact" w:line="320" w:after="0" w:before="0"/>
            </w:pPr>
            <w:r>
              <w:rPr>
                <w:rFonts w:ascii="宋体" w:hAnsi="宋体" w:eastAsia="宋体" w:cs="宋体"/>
                <w:color w:val="000000"/>
                <w:sz w:val="21"/>
              </w:rPr>
              <w:br/>
              <w:t xml:space="preserve">    本产品聘请毕马威会计师事务所（特殊普通合伙）上海分所依据中国注册会计师审计准则对本产品的财务报表，包括2020年12月31日的资产负债表，自成立日至2020年12月31日止期间利润表和理财产品净值变动表以及相关财务报表附注进行了审计，并出具了审计报告。</w:t>
            </w:r>
          </w:p>
        </w:tc>
        <w:tc>
          <w:tcP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八. 投资组合情况</w:t>
            </w: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48.48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权益投资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8.34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r>
      <w:tr>
        <w:trPr>
          <w:trHeight w:hRule="exact" w:val="12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报告期末本产品债券回购融资余额未超过净资产规模的100%，本产品总资产未超过该产品净资产规模的200%，符合产品协议对本产品杠杆比例的要求。</w:t>
            </w: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5"/>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6640"/>
        </w:trPr>
        <w:tc>
          <w:tcPr>
     </w:tcPr>
          <w:p>
            <w:pPr>
              <w:pStyle w:val="EMPTY_CELL_STYLE"/>
            </w:pPr>
          </w:p>
        </w:tc>
        <w:tc>
          <w:tcPr>
     </w:tcPr>
          <w:p>
            <w:pPr>
              <w:pStyle w:val="EMPTY_CELL_STYLE"/>
            </w:pPr>
          </w:p>
        </w:tc>
        <w:tc>
          <w:tcPr>
            <w:gridSpan w:val="5"/>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20贵贵阳城投ZR001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34.04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20晋太原国投ZR003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13.62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5.40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18眉山发展MTN001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4.10</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17港闸02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18新都兴城MTN001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18如皋沿江MTN002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2.75</w:t>
                        </w:r>
                      </w:p>
                    </w:tc>
                  </w:tr>
                </w:tbl>
                <w:p>
                  <w:pPr>
                    <w:pStyle w:val="EMPTY_CELL_STYLE"/>
                  </w:pPr>
                </w:p>
              </w:tc>
            </w:tr>
          </w:tbl>
          <w:p>
            <w:pPr>
              <w:pStyle w:val="EMPTY_CELL_STYLE"/>
            </w:pPr>
          </w:p>
        </w:tc>
        <w:tc>
          <w:tcPr>
     </w:tcPr>
          <w:p>
            <w:pPr>
              <w:pStyle w:val="EMPTY_CELL_STYLE"/>
            </w:pPr>
          </w:p>
        </w:tc>
      </w:tr>
      <w:tr>
        <w:trPr>
          <w:trHeight w:hRule="exact" w:val="2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72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20镇江交通SCP002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19贵州高速MTN001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20晋焦煤MTN006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19云建投MTN001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20泰安城乡MTN001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20闽建工MTN003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20云能投MTN004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20鲁黄金MTN004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20郫国投CP001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20柳州东投SCP003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20株洲城建MTN002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051010100101082841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兴银理财增盈优选11号净值型理财产品</w:t>
                        </w:r>
                      </w:p>
                    </w:tc>
                  </w:tr>
                </w:tbl>
                <w:p>
                  <w:pPr>
                    <w:pStyle w:val="EMPTY_CELL_STYLE"/>
                  </w:pPr>
                </w:p>
              </w:tc>
            </w:tr>
          </w:tbl>
          <w:p>
            <w:pPr>
              <w:pStyle w:val="EMPTY_CELL_STYLE"/>
            </w:pPr>
          </w:p>
        </w:tc>
        <w:tc>
          <w:tcPr>
     </w:tcPr>
          <w:p>
            <w:pPr>
              <w:pStyle w:val="EMPTY_CELL_STYLE"/>
            </w:pPr>
          </w:p>
        </w:tc>
      </w:tr>
      <w:tr>
        <w:trPr>
          <w:trHeight w:hRule="exact" w:val="12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2000"/>
        <w:gridCol w:w="2000"/>
        <w:gridCol w:w="3300"/>
        <w:gridCol w:w="1"/>
      </w:tblGrid>
      <w:tr>
        <w:trPr>
          <w:trHeight w:hRule="exact" w:val="0"/>
        </w:trPr>
        <w:tc>
          <w:tcPr>
     </w:tcPr>
          <w:p>
            <w:pPr>
              <w:pStyle w:val="EMPTY_CELL_STYLE"/>
              <w:pageBreakBefore/>
            </w:pPr>
            <w:bookmarkStart w:id="7" w:name="JR_PAGE_ANCHOR_0_8"/>
            <w:bookmarkEnd w:id="7"/>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兴银理财增盈优选11号净值型理财产品2020年年度报告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4"/>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r>
      <w:tr>
        <w:trPr>
          <w:trHeight w:hRule="atLeast" w:val="400"/>
        </w:trPr>
        <w:tc>
          <w:tcPr>
     </w:tcPr>
          <w:p>
            <w:pPr>
              <w:pStyle w:val="EMPTY_CELL_STYLE"/>
            </w:pPr>
          </w:p>
        </w:tc>
        <w:tc>
          <w:tcPr>
            <w:gridSpan w:val="4"/>
            <w:tcMar>
              <w:top w:w="0" w:type="dxa"/>
              <w:left w:w="0" w:type="dxa"/>
              <w:bottom w:w="0" w:type="dxa"/>
              <w:right w:w="0" w:type="dxa"/>
            </w:tcMar>
            <w:vAlign w:val="top"/>
          </w:tcPr>
          <w:p>
            <w:pPr>
              <w:ind/>
              <w:jc w:val="right"/>
            </w:pPr>
            <w:r>
              <w:rPr>
                <w:rFonts w:ascii="宋体" w:hAnsi="宋体" w:eastAsia="宋体" w:cs="宋体"/>
                <w:color w:val="000000"/>
                <w:sz w:val="21"/>
              </w:rPr>
              <w:t xml:space="preserve">2021年5月14日</w:t>
            </w:r>
          </w:p>
        </w:tc>
        <w:tc>
          <w:tcPr>
     </w:tcPr>
          <w:p>
            <w:pPr>
              <w:pStyle w:val="EMPTY_CELL_STYLE"/>
            </w:pPr>
          </w:p>
        </w:tc>
      </w:tr>
      <w:tr>
        <w:trPr>
          <w:trHeight w:hRule="exact" w:val="13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8/</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8</w:t>
            </w:r>
          </w:p>
        </w:tc>
        <w:tc>
          <w:tcPr>
     </w:tcPr>
          <w:p>
            <w:pPr>
              <w:pStyle w:val="EMPTY_CELL_STYLE"/>
            </w:pPr>
          </w:p>
        </w:tc>
        <w:tc>
          <w:tcPr>
     </w:tcPr>
          <w:p>
            <w:pPr>
              <w:pStyle w:val="EMPTY_CELL_STYLE"/>
            </w:pPr>
          </w:p>
        </w:tc>
      </w:tr>
    </w:tbl>
    <w:sectPr>
      <w:pgSz w:w="11900" w:h="16840" w:orient="portrait"/>
      <w:pgMar w:top="600" w:right="60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6.4.3</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