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兴业银行“天天万利宝-众盈”开放式净值型理财产品（1M）</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兴业银行“天天万利宝-众盈”开放式净值型理财产品（1M）</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9K816013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17,523,486,171.44份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产品9K816013自起息日以来，累计净值增长率为20.2960%，年化累计净值增长率为4.7035%。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1.20296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1.20296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21,080,079,402.83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郝彦君先生，自2018年4月加入兴业银行以来，先后在固定收益投资部门从事利率债交易组合管理、理财产品管理工作，拥有4年债券投资和交易经验。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4,999,044,069.89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存放同业20201126001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京-同业借款20191118002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京-同业借款20191023001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存放同业20201124001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京-同业借款20190925002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京-同业借款20191012001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大额存单-稳盈-浦发福州-20190202002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同业借款20190417002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051010100100215713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兴业银行理财产品托管专户(天天万利宝-众盈)</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