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1200"/>
        <w:gridCol w:w="200"/>
        <w:gridCol w:w="600"/>
        <w:gridCol w:w="1800"/>
        <w:gridCol w:w="200"/>
        <w:gridCol w:w="1400"/>
        <w:gridCol w:w="600"/>
        <w:gridCol w:w="400"/>
        <w:gridCol w:w="400"/>
        <w:gridCol w:w="1200"/>
        <w:gridCol w:w="980"/>
        <w:gridCol w:w="20"/>
        <w:gridCol w:w="200"/>
        <w:gridCol w:w="800"/>
        <w:gridCol w:w="200"/>
        <w:gridCol w:w="80"/>
        <w:gridCol w:w="12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gridSpan w:val="16"/>
            <w:tcMar>
              <w:top w:w="0" w:type="dxa"/>
              <w:left w:w="0" w:type="dxa"/>
              <w:bottom w:w="0" w:type="dxa"/>
              <w:right w:w="0" w:type="dxa"/>
            </w:tcMar>
            <w:vAlign w:val="top"/>
          </w:tcPr>
          <w:p>
            <w:pPr>
              <w:ind/>
              <w:jc w:val="center"/>
            </w:pPr>
            <w:r>
              <w:rPr>
                <w:rFonts w:ascii="微软雅黑CD" w:hAnsi="微软雅黑CD" w:eastAsia="微软雅黑CD" w:cs="微软雅黑CD"/>
                <w:color w:val="000000"/>
                <w:sz w:val="32"/>
                <w:b w:val="true"/>
              </w:rPr>
              <w:t xml:space="preserve">兴业银行“安愉百富2号”开放式净值型理财产品（3M）第3款(理财编号：95615013)定期公告</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16"/>
            <w:tcMar>
              <w:top w:w="0" w:type="dxa"/>
              <w:left w:w="0" w:type="dxa"/>
              <w:bottom w:w="0" w:type="dxa"/>
              <w:right w:w="0" w:type="dxa"/>
            </w:tcMar>
            <w:vAlign w:val="top"/>
          </w:tcPr>
          <w:p>
            <w:pPr>
              <w:ind/>
              <w:jc w:val="center"/>
            </w:pPr>
            <w:r>
              <w:rPr>
                <w:rFonts w:ascii="微软雅黑CD" w:hAnsi="微软雅黑CD" w:eastAsia="微软雅黑CD" w:cs="微软雅黑CD"/>
                <w:color w:val="000000"/>
                <w:sz w:val="32"/>
                <w:b w:val="true"/>
              </w:rPr>
              <w:t xml:space="preserve">2019年第二季度报告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16"/>
            <w:tcMar>
              <w:top w:w="0" w:type="dxa"/>
              <w:left w:w="0" w:type="dxa"/>
              <w:bottom w:w="0" w:type="dxa"/>
              <w:right w:w="0" w:type="dxa"/>
            </w:tcMar>
            <w:vAlign w:val="top"/>
          </w:tcPr>
          <w:p>
            <w:pPr>
              <w:ind/>
              <w:jc w:val="center"/>
            </w:pPr>
            <w:r>
              <w:rPr>
                <w:rFonts w:ascii="微软雅黑CD" w:hAnsi="微软雅黑CD" w:eastAsia="微软雅黑CD" w:cs="微软雅黑CD"/>
                <w:color w:val="000000"/>
                <w:sz w:val="32"/>
                <w:b w:val="true"/>
              </w:rPr>
              <w:t xml:space="preserve">2019年6月30日</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2"/>
            <w:tcMar>
              <w:top w:w="0" w:type="dxa"/>
              <w:left w:w="0" w:type="dxa"/>
              <w:bottom w:w="0" w:type="dxa"/>
              <w:right w:w="0" w:type="dxa"/>
            </w:tcMar>
            <w:vAlign w:val="top"/>
          </w:tcPr>
          <w:p>
            <w:pPr>
              <w:ind/>
            </w:pPr>
            <w:r>
              <w:rPr>
                <w:rFonts w:ascii="微软雅黑CD" w:hAnsi="微软雅黑CD" w:eastAsia="微软雅黑CD" w:cs="微软雅黑CD"/>
                <w:color w:val="0D0201"/>
                <w:sz w:val="26"/>
                <w:b w:val="true"/>
              </w:rPr>
              <w:t xml:space="preserve">重要提示：</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2"/>
            <w:tcMar>
              <w:top w:w="0" w:type="dxa"/>
              <w:left w:w="0" w:type="dxa"/>
              <w:bottom w:w="0" w:type="dxa"/>
              <w:right w:w="0" w:type="dxa"/>
            </w:tcMar>
            <w:vAlign w:val="center"/>
          </w:tcPr>
          <w:p>
            <w:pPr>
              <w:ind/>
            </w:pPr>
            <w:r>
              <w:rPr>
                <w:rFonts w:ascii="微软雅黑CD" w:hAnsi="微软雅黑CD" w:eastAsia="微软雅黑CD" w:cs="微软雅黑CD"/>
                <w:color w:val="FF0400"/>
                <w:sz w:val="24"/>
                <w:b w:val="true"/>
              </w:rPr>
              <w:t xml:space="preserve">1.温馨提醒：理财非存款，产品有风险，投资需谨慎！</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gridSpan w:val="14"/>
            <w:tcMar>
              <w:top w:w="0" w:type="dxa"/>
              <w:left w:w="0" w:type="dxa"/>
              <w:bottom w:w="0" w:type="dxa"/>
              <w:right w:w="0" w:type="dxa"/>
            </w:tcMar>
            <w:vAlign w:val="top"/>
          </w:tcPr>
          <w:p>
            <w:pPr>
              <w:ind/>
            </w:pPr>
            <w:r>
              <w:rPr>
                <w:rFonts w:ascii="微软雅黑CD" w:hAnsi="微软雅黑CD" w:eastAsia="微软雅黑CD" w:cs="微软雅黑CD"/>
                <w:color w:val="FF0000"/>
                <w:sz w:val="24"/>
              </w:rPr>
              <w:t xml:space="preserve">2.理财信息可供参考，详情请咨询理财经理，或在“中国理财网（www.chinawealth.com.cn）”查询该产品相关信息。</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2"/>
            <w:tcMar>
              <w:top w:w="0" w:type="dxa"/>
              <w:left w:w="0" w:type="dxa"/>
              <w:bottom w:w="0" w:type="dxa"/>
              <w:right w:w="0" w:type="dxa"/>
            </w:tcMar>
            <w:vAlign w:val="top"/>
          </w:tcPr>
          <w:p>
            <w:pPr>
              <w:ind/>
            </w:pPr>
            <w:r>
              <w:rPr>
                <w:rFonts w:ascii="微软雅黑CD" w:hAnsi="微软雅黑CD" w:eastAsia="微软雅黑CD" w:cs="微软雅黑CD"/>
                <w:color w:val="FF0400"/>
                <w:sz w:val="24"/>
              </w:rPr>
              <w:t xml:space="preserve">3.兴业银行股份有限公司保留对所有文字说明的最终解释权。</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1"/>
            <w:tcMar>
              <w:top w:w="0" w:type="dxa"/>
              <w:left w:w="0" w:type="dxa"/>
              <w:bottom w:w="0" w:type="dxa"/>
              <w:right w:w="0" w:type="dxa"/>
            </w:tcMar>
            <w:vAlign w:val="top"/>
          </w:tcPr>
          <w:p>
            <w:pPr>
              <w:ind/>
              <w:jc w:val="left"/>
            </w:pPr>
            <w:r>
              <w:rPr>
                <w:rFonts w:ascii="微软雅黑CD" w:hAnsi="微软雅黑CD" w:eastAsia="微软雅黑CD" w:cs="微软雅黑CD"/>
                <w:color w:val="000000"/>
                <w:sz w:val="26"/>
                <w:b w:val="true"/>
              </w:rPr>
              <w:t xml:space="preserve">表1.产品基本信息：</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产品名称</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起息日</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到期日</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期限（天）</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产品类型</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产品规模</w:t>
            </w:r>
          </w:p>
        </w:tc>
        <w:tc>
          <w:tcPr>
     </w:tcPr>
          <w:p>
            <w:pPr>
              <w:pStyle w:val="EMPTY_CELL_STYLE"/>
            </w:pPr>
          </w:p>
        </w:tc>
      </w:tr>
      <w:tr>
        <w:trPr>
          <w:trHeight w:hRule="exact" w:val="168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95615013</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兴业银行“安愉百富2号”开放式净值型理财产品（3M）第3款</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2015年11月25日</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2020年11月26日</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1,828</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净值型</w:t>
            </w:r>
          </w:p>
        </w:tc>
        <w:tc>
          <w:tcPr>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1,093,559,373</w:t>
            </w: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8"/>
            <w:tcMar>
              <w:top w:w="0" w:type="dxa"/>
              <w:left w:w="0" w:type="dxa"/>
              <w:bottom w:w="0" w:type="dxa"/>
              <w:right w:w="0" w:type="dxa"/>
            </w:tcMar>
            <w:vAlign w:val="center"/>
          </w:tcPr>
          <w:p>
            <w:pPr>
              <w:ind/>
              <w:jc w:val="left"/>
            </w:pPr>
            <w:r>
              <w:rPr>
                <w:rFonts w:ascii="微软雅黑CD" w:hAnsi="微软雅黑CD" w:eastAsia="微软雅黑CD" w:cs="微软雅黑CD"/>
                <w:color w:val="000000"/>
                <w:sz w:val="26"/>
                <w:b w:val="true"/>
              </w:rPr>
              <w:t xml:space="preserve">表2.报告期末产品收益及产品规模表现：</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序号</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估值日/开放日</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产品份额净值</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产品累计净值</w:t>
            </w:r>
          </w:p>
        </w:tc>
        <w:tc>
          <w:tcPr>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2019年5月23日</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1.01014</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1.17663</w:t>
            </w:r>
          </w:p>
        </w:tc>
        <w:tc>
          <w:tcPr>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1,584,235,263.26</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13"/>
            <w:tcMar>
              <w:top w:w="0" w:type="dxa"/>
              <w:left w:w="0" w:type="dxa"/>
              <w:bottom w:w="0" w:type="dxa"/>
              <w:right w:w="0" w:type="dxa"/>
            </w:tcMar>
            <w:vAlign w:val="center"/>
          </w:tcPr>
          <w:p>
            <w:pPr>
              <w:ind/>
              <w:jc w:val="left"/>
            </w:pPr>
            <w:r>
              <w:rPr>
                <w:rFonts w:ascii="微软雅黑CD" w:hAnsi="微软雅黑CD" w:eastAsia="微软雅黑CD" w:cs="微软雅黑CD"/>
                <w:color w:val="000000"/>
                <w:sz w:val="26"/>
                <w:b w:val="true"/>
              </w:rPr>
              <w:t xml:space="preserve">表3.产品投资方案：</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5380"/>
        <w:gridCol w:w="3640"/>
        <w:gridCol w:w="1360"/>
        <w:gridCol w:w="120"/>
        <w:gridCol w:w="1"/>
      </w:tblGrid>
      <w:tr>
        <w:trPr>
          <w:trHeight w:hRule="exact" w:val="2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资产类型</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占比</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现金</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1.49%</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债券投资</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98.51%</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银行存款</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同业存单</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货币市场工具</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公募基金</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理财直接融资工具</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信贷资产流转项目</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权益类资产</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非标准化债权资产</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合计</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100%</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left"/>
            </w:pPr>
            <w:r>
              <w:rPr>
                <w:rFonts w:ascii="微软雅黑CD" w:hAnsi="微软雅黑CD" w:eastAsia="微软雅黑CD" w:cs="微软雅黑CD"/>
                <w:color w:val="000000"/>
                <w:sz w:val="26"/>
                <w:b w:val="true"/>
              </w:rPr>
              <w:t xml:space="preserve">表4：产品资产持仓前十位基本信息：</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640"/>
        </w:trPr>
        <w:tc>
          <w:tcPr>
     </w:tcPr>
          <w:p>
            <w:pPr>
              <w:pStyle w:val="EMPTY_CELL_STYLE"/>
            </w:pPr>
          </w:p>
        </w:tc>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400"/>
              <w:gridCol w:w="1800"/>
              <w:gridCol w:w="3600"/>
              <w:gridCol w:w="2000"/>
              <w:gridCol w:w="1700"/>
            </w:tblGrid>
            <w:tr>
              <w:trPr>
                <w:trHeight w:hRule="exact" w:val="64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4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序号</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4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4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资产名称</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4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资产份额</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4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b w:val="true"/>
                          </w:rPr>
                          <w:t xml:space="preserve">资产占比（%）</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17宜昌城投债</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306,000,000.00</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30.60</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2</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17河钢集MTN015</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300,000,000.00</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29.15</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3</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15海城投债</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90,000,000.00</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8.84</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4</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15青岛国信PPN001</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58,035,973.02</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5.65</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5</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17鑫安B</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19,218,365.67</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1.72</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6</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17华泰C2</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10,219,878.03</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0.92</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7</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15南通国投MTN001</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6,004,178.34</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0.56</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8</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19华福C1</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5,748,681.39</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0.52</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9</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17兴业C2</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5,109,939.02</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0.46</w:t>
                        </w:r>
                      </w:p>
                    </w:tc>
                  </w:tr>
                </w:tbl>
                <w:p>
                  <w:pPr>
                    <w:pStyle w:val="EMPTY_CELL_STYLE"/>
                  </w:pPr>
                </w:p>
              </w:tc>
            </w:tr>
            <w:tr>
              <w:trPr>
                <w:trHeight w:hRule="exact" w:val="600"/>
              </w:trPr>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400"/>
                    <w:gridCol w:w="14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10</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800"/>
                    <w:gridCol w:w="18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债券投资</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exact" w:val="600"/>
                    </w:trPr>
                    <w:tc>
                      <w:tcPr>
                        <w:tcMar>
                          <w:top w:w="0" w:type="dxa"/>
                          <w:left w:w="0" w:type="dxa"/>
                          <w:bottom w:w="0" w:type="dxa"/>
                          <w:right w:w="0" w:type="dxa"/>
                        </w:tcMar>
                        <w:vAlign w:val="center"/>
                      </w:tcPr>
                      <w:p>
                        <w:pPr>
                          <w:ind/>
                          <w:jc w:val="left"/>
                        </w:pPr>
                        <w:r>
                          <w:rPr>
                            <w:rFonts w:ascii="微软雅黑CD" w:hAnsi="微软雅黑CD" w:eastAsia="微软雅黑CD" w:cs="微软雅黑CD"/>
                            <w:color w:val="000000"/>
                            <w:sz w:val="24"/>
                          </w:rPr>
                          <w:t xml:space="preserve">17中信03</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000"/>
                    <w:gridCol w:w="2000"/>
                  </w:tblGrid>
                  <w:tr>
                    <w:trPr>
                      <w:trHeight w:hRule="exact" w:val="600"/>
                    </w:trPr>
                    <w:tc>
                      <w:tcPr>
                        <w:tcMar>
                          <w:top w:w="0" w:type="dxa"/>
                          <w:left w:w="0" w:type="dxa"/>
                          <w:bottom w:w="0" w:type="dxa"/>
                          <w:right w:w="0" w:type="dxa"/>
                        </w:tcMar>
                        <w:vAlign w:val="center"/>
                      </w:tcPr>
                      <w:p>
                        <w:pPr>
                          <w:ind/>
                          <w:jc w:val="right"/>
                        </w:pPr>
                        <w:r>
                          <w:rPr>
                            <w:rFonts w:ascii="微软雅黑CD" w:hAnsi="微软雅黑CD" w:eastAsia="微软雅黑CD" w:cs="微软雅黑CD"/>
                            <w:color w:val="000000"/>
                            <w:sz w:val="24"/>
                          </w:rPr>
                          <w:t xml:space="preserve">5,109,939.02</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700"/>
                    <w:gridCol w:w="1700"/>
                  </w:tblGrid>
                  <w:tr>
                    <w:trPr>
                      <w:trHeight w:hRule="exact" w:val="600"/>
                    </w:trPr>
                    <w:tc>
                      <w:tcPr>
                        <w:tcMar>
                          <w:top w:w="0" w:type="dxa"/>
                          <w:left w:w="0" w:type="dxa"/>
                          <w:bottom w:w="0" w:type="dxa"/>
                          <w:right w:w="0" w:type="dxa"/>
                        </w:tcMar>
                        <w:vAlign w:val="center"/>
                      </w:tcPr>
                      <w:p>
                        <w:pPr>
                          <w:ind/>
                          <w:jc w:val="center"/>
                        </w:pPr>
                        <w:r>
                          <w:rPr>
                            <w:rFonts w:ascii="微软雅黑CD" w:hAnsi="微软雅黑CD" w:eastAsia="微软雅黑CD" w:cs="微软雅黑CD"/>
                            <w:color w:val="000000"/>
                            <w:sz w:val="24"/>
                          </w:rPr>
                          <w:t xml:space="preserve">0.46</w:t>
                        </w:r>
                      </w:p>
                    </w:tc>
                  </w:tr>
                </w:tbl>
                <w:p>
                  <w:pPr>
                    <w:pStyle w:val="EMPTY_CELL_STYLE"/>
                  </w:pPr>
                </w:p>
              </w:tc>
            </w:tr>
          </w:tbl>
          <w:p>
            <w:pPr>
              <w:pStyle w:val="EMPTY_CELL_STYLE"/>
            </w:pPr>
          </w:p>
        </w:tc>
        <w:tc>
          <w:tcPr>
     </w:tcPr>
          <w:p>
            <w:pPr>
              <w:pStyle w:val="EMPTY_CELL_STYLE"/>
            </w:pPr>
          </w:p>
        </w:tc>
      </w:tr>
    </w:tbl>
    <w:tbl>
      <w:tblPr>
        <w:tblLayout w:type="fixed"/>
      </w:tblPr>
      <w:tblGrid>
        <w:gridCol w:w="20"/>
        <w:gridCol w:w="3180"/>
        <w:gridCol w:w="3100"/>
        <w:gridCol w:w="3980"/>
        <w:gridCol w:w="2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0"/>
        </w:trPr>
        <w:tc>
          <w:tcPr>
     </w:tcPr>
          <w:p>
            <w:pPr>
              <w:pStyle w:val="EMPTY_CELL_STYLE"/>
            </w:pPr>
          </w:p>
        </w:tc>
        <w:tc>
          <w:tcPr>
            <w:gridSpan w:val="4"/>
            <w:tcMar>
              <w:top w:w="0" w:type="dxa"/>
              <w:left w:w="0" w:type="dxa"/>
              <w:bottom w:w="0" w:type="dxa"/>
              <w:right w:w="0" w:type="dxa"/>
            </w:tcMar>
            <w:vAlign w:val="top"/>
          </w:tcPr>
          <w:p>
            <w:pPr>
              <w:ind/>
              <w:jc w:val="left"/>
            </w:pPr>
            <w:r>
              <w:rPr>
                <w:rFonts w:ascii="微软雅黑CD" w:hAnsi="微软雅黑CD" w:eastAsia="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登录网银后进行查询。</w:t>
              <w:br/>
              <w:t xml:space="preserve">    特此公告！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微软雅黑CD" w:hAnsi="微软雅黑CD" w:eastAsia="微软雅黑CD" w:cs="微软雅黑CD"/>
                <w:color w:val="000000"/>
                <w:sz w:val="26"/>
              </w:rPr>
              <w:t xml:space="preserve">兴业银行股份有限公司</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微软雅黑CD" w:hAnsi="微软雅黑CD" w:eastAsia="微软雅黑CD" w:cs="微软雅黑CD"/>
                <w:color w:val="000000"/>
                <w:sz w:val="26"/>
              </w:rPr>
              <w:t xml:space="preserve">2019年6月30日</w:t>
            </w:r>
          </w:p>
        </w:tc>
        <w:tc>
          <w:tcPr>
     </w:tcPr>
          <w:p>
            <w:pPr>
              <w:pStyle w:val="EMPTY_CELL_STYLE"/>
            </w:pPr>
          </w:p>
        </w:tc>
        <w:tc>
          <w:tcPr>
     </w:tcPr>
          <w:p>
            <w:pPr>
              <w:pStyle w:val="EMPTY_CELL_STYLE"/>
            </w:pPr>
          </w:p>
        </w:tc>
      </w:tr>
    </w:tbl>
    <w:sectPr>
      <w:pgSz w:w="11900" w:h="16840" w:orient="portrait"/>
      <w:pgMar w:top="800" w:right="800" w:bottom="440" w:left="8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CD">
    <w:name w:val="Table_CD"/>
    <w:qFormat/>
    <w:pPr>
      <w:ind/>
    </w:pPr>
    <w:rPr>
      <w:rFonts w:ascii="SansSerif" w:hAnsi="SansSerif" w:eastAsia="SansSerif" w:cs="SansSerif"/>
      <w:color w:val="000000"/>
      <w:sz w:val="20"/>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