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Look w:val="04A0"/>
      </w:tblPr>
      <w:tblGrid>
        <w:gridCol w:w="2842"/>
        <w:gridCol w:w="1422"/>
        <w:gridCol w:w="1419"/>
        <w:gridCol w:w="2845"/>
      </w:tblGrid>
      <w:tr w:rsidR="00E45567" w:rsidRPr="00791FC4" w:rsidTr="00121CBA">
        <w:trPr>
          <w:trHeight w:val="283"/>
        </w:trPr>
        <w:tc>
          <w:tcPr>
            <w:tcW w:w="1666" w:type="pct"/>
          </w:tcPr>
          <w:p w:rsidR="00E45567" w:rsidRPr="00791FC4" w:rsidRDefault="00E45567" w:rsidP="004E5192">
            <w:pPr>
              <w:spacing w:line="440" w:lineRule="exact"/>
              <w:jc w:val="left"/>
              <w:rPr>
                <w:b/>
                <w:sz w:val="24"/>
                <w:szCs w:val="28"/>
              </w:rPr>
            </w:pPr>
            <w:bookmarkStart w:id="0" w:name="_GoBack"/>
            <w:r w:rsidRPr="00791FC4">
              <w:rPr>
                <w:b/>
                <w:sz w:val="24"/>
                <w:szCs w:val="28"/>
              </w:rPr>
              <w:t xml:space="preserve">Code of A Shares: 601166  </w:t>
            </w:r>
          </w:p>
        </w:tc>
        <w:tc>
          <w:tcPr>
            <w:tcW w:w="1666" w:type="pct"/>
            <w:gridSpan w:val="2"/>
          </w:tcPr>
          <w:p w:rsidR="00E45567" w:rsidRPr="00791FC4" w:rsidRDefault="00E45567" w:rsidP="004E5192">
            <w:pPr>
              <w:spacing w:line="440" w:lineRule="exact"/>
              <w:ind w:firstLineChars="98" w:firstLine="236"/>
              <w:jc w:val="left"/>
              <w:rPr>
                <w:b/>
                <w:sz w:val="24"/>
                <w:szCs w:val="28"/>
              </w:rPr>
            </w:pPr>
            <w:r w:rsidRPr="00791FC4">
              <w:rPr>
                <w:b/>
                <w:sz w:val="24"/>
                <w:szCs w:val="28"/>
              </w:rPr>
              <w:t>Abbreviation of A Shares: Industrial Bank</w:t>
            </w:r>
          </w:p>
        </w:tc>
        <w:tc>
          <w:tcPr>
            <w:tcW w:w="1668" w:type="pct"/>
          </w:tcPr>
          <w:p w:rsidR="00E45567" w:rsidRPr="00791FC4" w:rsidRDefault="00E45567" w:rsidP="004E5192">
            <w:pPr>
              <w:spacing w:line="440" w:lineRule="exact"/>
              <w:ind w:firstLineChars="245" w:firstLine="590"/>
              <w:jc w:val="left"/>
              <w:rPr>
                <w:b/>
                <w:sz w:val="24"/>
                <w:szCs w:val="28"/>
              </w:rPr>
            </w:pPr>
            <w:r w:rsidRPr="00791FC4">
              <w:rPr>
                <w:b/>
                <w:sz w:val="24"/>
                <w:szCs w:val="28"/>
              </w:rPr>
              <w:t>Code: TEMP 2018-01</w:t>
            </w:r>
          </w:p>
        </w:tc>
      </w:tr>
      <w:tr w:rsidR="00E45567" w:rsidRPr="00791FC4" w:rsidTr="00121CBA">
        <w:trPr>
          <w:trHeight w:val="283"/>
        </w:trPr>
        <w:tc>
          <w:tcPr>
            <w:tcW w:w="2500" w:type="pct"/>
            <w:gridSpan w:val="2"/>
          </w:tcPr>
          <w:p w:rsidR="00E45567" w:rsidRPr="00791FC4" w:rsidRDefault="00E45567" w:rsidP="004E5192">
            <w:pPr>
              <w:spacing w:line="440" w:lineRule="exact"/>
              <w:jc w:val="left"/>
              <w:rPr>
                <w:b/>
                <w:sz w:val="24"/>
                <w:szCs w:val="28"/>
              </w:rPr>
            </w:pPr>
            <w:r w:rsidRPr="00791FC4">
              <w:rPr>
                <w:b/>
                <w:sz w:val="24"/>
                <w:szCs w:val="28"/>
              </w:rPr>
              <w:t>Code of Preferred Stock: 360005, 360012</w:t>
            </w:r>
          </w:p>
        </w:tc>
        <w:tc>
          <w:tcPr>
            <w:tcW w:w="2500" w:type="pct"/>
            <w:gridSpan w:val="2"/>
          </w:tcPr>
          <w:p w:rsidR="00E45567" w:rsidRPr="00791FC4" w:rsidRDefault="00E45567" w:rsidP="004E5192">
            <w:pPr>
              <w:spacing w:line="440" w:lineRule="exact"/>
              <w:jc w:val="left"/>
              <w:rPr>
                <w:b/>
                <w:sz w:val="24"/>
                <w:szCs w:val="28"/>
              </w:rPr>
            </w:pPr>
            <w:r w:rsidRPr="00791FC4">
              <w:rPr>
                <w:b/>
                <w:sz w:val="24"/>
                <w:szCs w:val="28"/>
              </w:rPr>
              <w:t>Abbreviation of Preferred Stock: Industrial Preferred 1, Industrial Preferred 2</w:t>
            </w:r>
          </w:p>
        </w:tc>
      </w:tr>
    </w:tbl>
    <w:p w:rsidR="00933139" w:rsidRPr="00791FC4" w:rsidRDefault="00933139" w:rsidP="00584F62">
      <w:pPr>
        <w:pStyle w:val="a5"/>
        <w:adjustRightInd w:val="0"/>
        <w:snapToGrid w:val="0"/>
        <w:spacing w:before="0" w:beforeAutospacing="0" w:after="0" w:afterAutospacing="0"/>
        <w:ind w:firstLineChars="200" w:firstLine="480"/>
        <w:rPr>
          <w:rFonts w:ascii="Times New Roman" w:hAnsi="Times New Roman" w:cs="Times New Roman"/>
          <w:color w:val="000000"/>
          <w:kern w:val="2"/>
          <w:szCs w:val="20"/>
        </w:rPr>
      </w:pPr>
    </w:p>
    <w:p w:rsidR="005F5E78" w:rsidRPr="00791FC4" w:rsidRDefault="009E4C59" w:rsidP="002D2573">
      <w:pPr>
        <w:widowControl/>
        <w:ind w:left="11" w:hanging="11"/>
        <w:jc w:val="center"/>
        <w:rPr>
          <w:rFonts w:eastAsia="黑体"/>
          <w:color w:val="FF0000"/>
          <w:sz w:val="36"/>
          <w:szCs w:val="22"/>
        </w:rPr>
      </w:pPr>
      <w:r w:rsidRPr="00791FC4">
        <w:rPr>
          <w:color w:val="FF0000"/>
          <w:sz w:val="36"/>
          <w:szCs w:val="22"/>
        </w:rPr>
        <w:t>Industrial Bank Co., Ltd.</w:t>
      </w:r>
    </w:p>
    <w:p w:rsidR="00933139" w:rsidRPr="00791FC4" w:rsidRDefault="00224351" w:rsidP="002D2573">
      <w:pPr>
        <w:widowControl/>
        <w:ind w:left="11" w:hanging="11"/>
        <w:jc w:val="center"/>
        <w:rPr>
          <w:rFonts w:eastAsia="黑体"/>
          <w:color w:val="FF0000"/>
          <w:sz w:val="36"/>
          <w:szCs w:val="22"/>
        </w:rPr>
      </w:pPr>
      <w:r w:rsidRPr="00791FC4">
        <w:rPr>
          <w:color w:val="FF0000"/>
          <w:sz w:val="36"/>
          <w:szCs w:val="22"/>
        </w:rPr>
        <w:t xml:space="preserve">Announcement on Preliminary </w:t>
      </w:r>
      <w:r w:rsidRPr="00791FC4">
        <w:rPr>
          <w:color w:val="FF0000"/>
          <w:sz w:val="36"/>
          <w:szCs w:val="36"/>
        </w:rPr>
        <w:t>Earnings Estimate 2017</w:t>
      </w:r>
    </w:p>
    <w:p w:rsidR="00933139" w:rsidRPr="00791FC4" w:rsidRDefault="00933139" w:rsidP="00584F62">
      <w:pPr>
        <w:pStyle w:val="a5"/>
        <w:adjustRightInd w:val="0"/>
        <w:snapToGrid w:val="0"/>
        <w:spacing w:before="0" w:beforeAutospacing="0" w:after="0" w:afterAutospacing="0"/>
        <w:ind w:firstLineChars="200" w:firstLine="480"/>
        <w:rPr>
          <w:rFonts w:ascii="Times New Roman" w:hAnsi="Times New Roman" w:cs="Times New Roman"/>
          <w:color w:val="000000"/>
          <w:kern w:val="2"/>
          <w:szCs w:val="20"/>
        </w:rPr>
      </w:pPr>
    </w:p>
    <w:p w:rsidR="0060426D" w:rsidRPr="00791FC4" w:rsidRDefault="0060426D" w:rsidP="00CE22BF">
      <w:pPr>
        <w:spacing w:line="400" w:lineRule="exact"/>
        <w:ind w:firstLineChars="200" w:firstLine="480"/>
        <w:rPr>
          <w:sz w:val="24"/>
        </w:rPr>
      </w:pPr>
      <w:r w:rsidRPr="00791FC4">
        <w:rPr>
          <w:sz w:val="24"/>
        </w:rPr>
        <w:t>The board of Directors of the Company and all directors guarantee there’s no false account, misleading statement or material omissions of the announcement, and will be jointly and severally be responsible for the truthfulness, accuracy and integrity of the announcement.</w:t>
      </w:r>
    </w:p>
    <w:p w:rsidR="00224351" w:rsidRPr="00791FC4" w:rsidRDefault="00224351" w:rsidP="00CE22BF">
      <w:pPr>
        <w:pStyle w:val="a5"/>
        <w:adjustRightInd w:val="0"/>
        <w:snapToGrid w:val="0"/>
        <w:spacing w:before="0" w:beforeAutospacing="0" w:after="0" w:afterAutospacing="0"/>
        <w:ind w:firstLineChars="200" w:firstLine="480"/>
        <w:jc w:val="both"/>
        <w:rPr>
          <w:rFonts w:ascii="Times New Roman" w:hAnsi="Times New Roman" w:cs="Times New Roman"/>
        </w:rPr>
      </w:pPr>
    </w:p>
    <w:p w:rsidR="00224351" w:rsidRPr="00791FC4" w:rsidRDefault="00224351" w:rsidP="00CE22BF">
      <w:pPr>
        <w:autoSpaceDE w:val="0"/>
        <w:autoSpaceDN w:val="0"/>
        <w:adjustRightInd w:val="0"/>
        <w:snapToGrid w:val="0"/>
        <w:spacing w:line="400" w:lineRule="exact"/>
        <w:ind w:firstLineChars="200" w:firstLine="480"/>
        <w:rPr>
          <w:kern w:val="0"/>
          <w:sz w:val="24"/>
        </w:rPr>
      </w:pPr>
      <w:r w:rsidRPr="00791FC4">
        <w:rPr>
          <w:sz w:val="24"/>
        </w:rPr>
        <w:t xml:space="preserve">The major financial data for 2017 contained in this announcement are preliminary accounting data without being audited by an accounting firm. The specific data is subject to the data disclosed in the 2017 annual </w:t>
      </w:r>
      <w:proofErr w:type="gramStart"/>
      <w:r w:rsidRPr="00791FC4">
        <w:rPr>
          <w:sz w:val="24"/>
        </w:rPr>
        <w:t>report of IB. Investors are</w:t>
      </w:r>
      <w:proofErr w:type="gramEnd"/>
      <w:r w:rsidRPr="00791FC4">
        <w:rPr>
          <w:sz w:val="24"/>
        </w:rPr>
        <w:t xml:space="preserve"> advised to pay attention to investment risks.</w:t>
      </w:r>
    </w:p>
    <w:p w:rsidR="00224351" w:rsidRPr="00791FC4" w:rsidRDefault="00224351" w:rsidP="00584F62">
      <w:pPr>
        <w:pStyle w:val="a5"/>
        <w:spacing w:after="0" w:afterAutospacing="0"/>
        <w:ind w:firstLineChars="200" w:firstLine="480"/>
        <w:rPr>
          <w:rFonts w:ascii="Times New Roman" w:hAnsi="Times New Roman" w:cs="Times New Roman"/>
        </w:rPr>
      </w:pPr>
      <w:r w:rsidRPr="00791FC4">
        <w:rPr>
          <w:rFonts w:ascii="Times New Roman" w:hAnsi="Times New Roman" w:cs="Times New Roman"/>
        </w:rPr>
        <w:t>I. Primary Financial Data &amp; Index in 2017</w:t>
      </w:r>
    </w:p>
    <w:p w:rsidR="00224351" w:rsidRPr="00791FC4" w:rsidRDefault="00224351" w:rsidP="00584F62">
      <w:pPr>
        <w:pStyle w:val="a5"/>
        <w:spacing w:before="0" w:beforeAutospacing="0" w:after="0" w:afterAutospacing="0" w:line="360" w:lineRule="exact"/>
        <w:rPr>
          <w:rFonts w:ascii="Times New Roman" w:hAnsi="Times New Roman" w:cs="Times New Roman"/>
        </w:rPr>
      </w:pPr>
      <w:r w:rsidRPr="00791FC4">
        <w:rPr>
          <w:rFonts w:ascii="Times New Roman" w:hAnsi="Times New Roman" w:cs="Times New Roman"/>
        </w:rPr>
        <w:t xml:space="preserve">                                                 Unit: </w:t>
      </w:r>
      <w:proofErr w:type="spellStart"/>
      <w:r w:rsidRPr="00791FC4">
        <w:rPr>
          <w:rFonts w:ascii="Times New Roman" w:hAnsi="Times New Roman" w:cs="Times New Roman"/>
        </w:rPr>
        <w:t>RMB</w:t>
      </w:r>
      <w:proofErr w:type="spellEnd"/>
      <w:r w:rsidRPr="00791FC4">
        <w:rPr>
          <w:rFonts w:ascii="Times New Roman" w:hAnsi="Times New Roman" w:cs="Times New Roman"/>
        </w:rPr>
        <w:t xml:space="preserve"> 1 million</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0"/>
        <w:gridCol w:w="1842"/>
        <w:gridCol w:w="1843"/>
        <w:gridCol w:w="2324"/>
      </w:tblGrid>
      <w:tr w:rsidR="00C314B1" w:rsidRPr="00791FC4" w:rsidTr="00C314B1">
        <w:trPr>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224351" w:rsidRPr="00791FC4" w:rsidRDefault="00224351" w:rsidP="00CE22BF">
            <w:pPr>
              <w:pStyle w:val="a5"/>
              <w:adjustRightInd w:val="0"/>
              <w:snapToGrid w:val="0"/>
              <w:spacing w:beforeLines="15" w:beforeAutospacing="0" w:afterLines="15" w:afterAutospacing="0" w:line="360" w:lineRule="exact"/>
              <w:jc w:val="center"/>
              <w:rPr>
                <w:rFonts w:ascii="Times New Roman" w:hAnsi="Times New Roman" w:cs="Times New Roman"/>
                <w:b/>
              </w:rPr>
            </w:pPr>
            <w:r w:rsidRPr="00791FC4">
              <w:rPr>
                <w:rFonts w:ascii="Times New Roman" w:hAnsi="Times New Roman" w:cs="Times New Roman"/>
                <w:b/>
              </w:rPr>
              <w:t>Item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4351" w:rsidRPr="00791FC4" w:rsidRDefault="00224351" w:rsidP="00CE22BF">
            <w:pPr>
              <w:pStyle w:val="a5"/>
              <w:adjustRightInd w:val="0"/>
              <w:snapToGrid w:val="0"/>
              <w:spacing w:beforeLines="15" w:beforeAutospacing="0" w:afterLines="15" w:afterAutospacing="0" w:line="360" w:lineRule="exact"/>
              <w:jc w:val="center"/>
              <w:rPr>
                <w:rFonts w:ascii="Times New Roman" w:hAnsi="Times New Roman" w:cs="Times New Roman"/>
                <w:b/>
              </w:rPr>
            </w:pPr>
            <w:r w:rsidRPr="00791FC4">
              <w:rPr>
                <w:rFonts w:ascii="Times New Roman" w:hAnsi="Times New Roman" w:cs="Times New Roman"/>
                <w:b/>
              </w:rPr>
              <w:t>Current Reporting Period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24351" w:rsidRPr="00791FC4" w:rsidRDefault="00224351" w:rsidP="00CE22BF">
            <w:pPr>
              <w:pStyle w:val="a5"/>
              <w:adjustRightInd w:val="0"/>
              <w:snapToGrid w:val="0"/>
              <w:spacing w:beforeLines="15" w:beforeAutospacing="0" w:afterLines="15" w:afterAutospacing="0" w:line="360" w:lineRule="exact"/>
              <w:jc w:val="center"/>
              <w:rPr>
                <w:rFonts w:ascii="Times New Roman" w:hAnsi="Times New Roman" w:cs="Times New Roman"/>
                <w:b/>
              </w:rPr>
            </w:pPr>
            <w:r w:rsidRPr="00791FC4">
              <w:rPr>
                <w:rFonts w:ascii="Times New Roman" w:hAnsi="Times New Roman" w:cs="Times New Roman"/>
                <w:b/>
              </w:rPr>
              <w:t>Same Period Last Year</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24351" w:rsidRPr="00791FC4" w:rsidRDefault="00224351" w:rsidP="00CE22BF">
            <w:pPr>
              <w:pStyle w:val="a5"/>
              <w:adjustRightInd w:val="0"/>
              <w:snapToGrid w:val="0"/>
              <w:spacing w:beforeLines="15" w:beforeAutospacing="0" w:afterLines="15" w:afterAutospacing="0" w:line="360" w:lineRule="exact"/>
              <w:jc w:val="center"/>
              <w:rPr>
                <w:rFonts w:ascii="Times New Roman" w:hAnsi="Times New Roman" w:cs="Times New Roman"/>
                <w:b/>
              </w:rPr>
            </w:pPr>
            <w:r w:rsidRPr="00791FC4">
              <w:rPr>
                <w:rFonts w:ascii="Times New Roman" w:hAnsi="Times New Roman" w:cs="Times New Roman"/>
                <w:b/>
              </w:rPr>
              <w:t>Increase or Decrease (%)</w:t>
            </w:r>
          </w:p>
        </w:tc>
      </w:tr>
      <w:tr w:rsidR="00C314B1" w:rsidRPr="00791FC4" w:rsidTr="00C314B1">
        <w:trPr>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3463F3" w:rsidRPr="00791FC4" w:rsidRDefault="003463F3" w:rsidP="00CE22BF">
            <w:pPr>
              <w:pStyle w:val="a5"/>
              <w:adjustRightInd w:val="0"/>
              <w:snapToGrid w:val="0"/>
              <w:spacing w:beforeLines="15" w:beforeAutospacing="0" w:afterLines="15" w:afterAutospacing="0" w:line="360" w:lineRule="exact"/>
              <w:jc w:val="both"/>
              <w:rPr>
                <w:rFonts w:ascii="Times New Roman" w:hAnsi="Times New Roman" w:cs="Times New Roman"/>
              </w:rPr>
            </w:pPr>
            <w:r w:rsidRPr="00791FC4">
              <w:rPr>
                <w:rFonts w:ascii="Times New Roman" w:hAnsi="Times New Roman" w:cs="Times New Roman"/>
              </w:rPr>
              <w:t>Business income</w:t>
            </w:r>
          </w:p>
        </w:tc>
        <w:tc>
          <w:tcPr>
            <w:tcW w:w="1842"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CE22BF">
            <w:pPr>
              <w:pStyle w:val="a5"/>
              <w:adjustRightInd w:val="0"/>
              <w:snapToGrid w:val="0"/>
              <w:spacing w:beforeLines="15" w:beforeAutospacing="0" w:afterLines="15"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140,081</w:t>
            </w:r>
          </w:p>
        </w:tc>
        <w:tc>
          <w:tcPr>
            <w:tcW w:w="1843"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CE22BF">
            <w:pPr>
              <w:pStyle w:val="a5"/>
              <w:adjustRightInd w:val="0"/>
              <w:snapToGrid w:val="0"/>
              <w:spacing w:beforeLines="15" w:beforeAutospacing="0" w:afterLines="15"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157,060</w:t>
            </w:r>
          </w:p>
        </w:tc>
        <w:tc>
          <w:tcPr>
            <w:tcW w:w="2324"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CE22BF">
            <w:pPr>
              <w:pStyle w:val="a5"/>
              <w:adjustRightInd w:val="0"/>
              <w:snapToGrid w:val="0"/>
              <w:spacing w:beforeLines="15" w:beforeAutospacing="0" w:afterLines="15"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(10.81)</w:t>
            </w:r>
          </w:p>
        </w:tc>
      </w:tr>
      <w:tr w:rsidR="00C314B1" w:rsidRPr="00791FC4" w:rsidTr="00C314B1">
        <w:trPr>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3463F3" w:rsidRPr="00791FC4" w:rsidRDefault="003463F3" w:rsidP="00CE22BF">
            <w:pPr>
              <w:pStyle w:val="a5"/>
              <w:adjustRightInd w:val="0"/>
              <w:snapToGrid w:val="0"/>
              <w:spacing w:beforeLines="15" w:beforeAutospacing="0" w:afterLines="15" w:afterAutospacing="0" w:line="360" w:lineRule="exact"/>
              <w:jc w:val="both"/>
              <w:rPr>
                <w:rFonts w:ascii="Times New Roman" w:hAnsi="Times New Roman" w:cs="Times New Roman"/>
              </w:rPr>
            </w:pPr>
            <w:r w:rsidRPr="00791FC4">
              <w:rPr>
                <w:rFonts w:ascii="Times New Roman" w:hAnsi="Times New Roman" w:cs="Times New Roman"/>
              </w:rPr>
              <w:t>Business profit</w:t>
            </w:r>
          </w:p>
        </w:tc>
        <w:tc>
          <w:tcPr>
            <w:tcW w:w="1842"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CE22BF">
            <w:pPr>
              <w:pStyle w:val="a5"/>
              <w:adjustRightInd w:val="0"/>
              <w:snapToGrid w:val="0"/>
              <w:spacing w:beforeLines="15" w:beforeAutospacing="0" w:afterLines="15"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64,820</w:t>
            </w:r>
          </w:p>
        </w:tc>
        <w:tc>
          <w:tcPr>
            <w:tcW w:w="1843"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CE22BF">
            <w:pPr>
              <w:pStyle w:val="a5"/>
              <w:adjustRightInd w:val="0"/>
              <w:snapToGrid w:val="0"/>
              <w:spacing w:beforeLines="15" w:beforeAutospacing="0" w:afterLines="15"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63,382</w:t>
            </w:r>
          </w:p>
        </w:tc>
        <w:tc>
          <w:tcPr>
            <w:tcW w:w="2324"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CE22BF">
            <w:pPr>
              <w:pStyle w:val="a5"/>
              <w:adjustRightInd w:val="0"/>
              <w:snapToGrid w:val="0"/>
              <w:spacing w:beforeLines="15" w:beforeAutospacing="0" w:afterLines="15"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2.27</w:t>
            </w:r>
          </w:p>
        </w:tc>
      </w:tr>
      <w:tr w:rsidR="00C314B1" w:rsidRPr="00791FC4" w:rsidTr="00C314B1">
        <w:trPr>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3463F3" w:rsidRPr="00791FC4" w:rsidRDefault="003463F3" w:rsidP="00CE22BF">
            <w:pPr>
              <w:pStyle w:val="a5"/>
              <w:adjustRightInd w:val="0"/>
              <w:snapToGrid w:val="0"/>
              <w:spacing w:beforeLines="15" w:beforeAutospacing="0" w:afterLines="15" w:afterAutospacing="0" w:line="360" w:lineRule="exact"/>
              <w:jc w:val="both"/>
              <w:rPr>
                <w:rFonts w:ascii="Times New Roman" w:hAnsi="Times New Roman" w:cs="Times New Roman"/>
              </w:rPr>
            </w:pPr>
            <w:r w:rsidRPr="00791FC4">
              <w:rPr>
                <w:rFonts w:ascii="Times New Roman" w:hAnsi="Times New Roman" w:cs="Times New Roman"/>
              </w:rPr>
              <w:t>Total profit</w:t>
            </w:r>
          </w:p>
        </w:tc>
        <w:tc>
          <w:tcPr>
            <w:tcW w:w="1842"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CE22BF">
            <w:pPr>
              <w:pStyle w:val="a5"/>
              <w:adjustRightInd w:val="0"/>
              <w:snapToGrid w:val="0"/>
              <w:spacing w:beforeLines="15" w:beforeAutospacing="0" w:afterLines="15"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65,046</w:t>
            </w:r>
          </w:p>
        </w:tc>
        <w:tc>
          <w:tcPr>
            <w:tcW w:w="1843"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CE22BF">
            <w:pPr>
              <w:pStyle w:val="a5"/>
              <w:adjustRightInd w:val="0"/>
              <w:snapToGrid w:val="0"/>
              <w:spacing w:beforeLines="15" w:beforeAutospacing="0" w:afterLines="15"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63,925</w:t>
            </w:r>
          </w:p>
        </w:tc>
        <w:tc>
          <w:tcPr>
            <w:tcW w:w="2324" w:type="dxa"/>
            <w:tcBorders>
              <w:top w:val="single" w:sz="4" w:space="0" w:color="auto"/>
              <w:left w:val="single" w:sz="4" w:space="0" w:color="auto"/>
              <w:bottom w:val="single" w:sz="4" w:space="0" w:color="auto"/>
              <w:right w:val="single" w:sz="4" w:space="0" w:color="auto"/>
            </w:tcBorders>
            <w:vAlign w:val="center"/>
          </w:tcPr>
          <w:p w:rsidR="003463F3" w:rsidRPr="00791FC4" w:rsidRDefault="00F61FBA" w:rsidP="00CE22BF">
            <w:pPr>
              <w:pStyle w:val="a5"/>
              <w:adjustRightInd w:val="0"/>
              <w:snapToGrid w:val="0"/>
              <w:spacing w:beforeLines="15" w:beforeAutospacing="0" w:afterLines="15"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 xml:space="preserve">1.75  </w:t>
            </w:r>
          </w:p>
        </w:tc>
      </w:tr>
      <w:tr w:rsidR="00C314B1" w:rsidRPr="00791FC4" w:rsidTr="00C314B1">
        <w:trPr>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3463F3" w:rsidRPr="00791FC4" w:rsidRDefault="003463F3" w:rsidP="00584F62">
            <w:pPr>
              <w:pStyle w:val="a5"/>
              <w:adjustRightInd w:val="0"/>
              <w:snapToGrid w:val="0"/>
              <w:spacing w:before="0" w:beforeAutospacing="0" w:after="0" w:afterAutospacing="0" w:line="360" w:lineRule="exact"/>
              <w:jc w:val="both"/>
              <w:rPr>
                <w:rFonts w:ascii="Times New Roman" w:hAnsi="Times New Roman" w:cs="Times New Roman"/>
              </w:rPr>
            </w:pPr>
            <w:r w:rsidRPr="00791FC4">
              <w:rPr>
                <w:rFonts w:ascii="Times New Roman" w:hAnsi="Times New Roman" w:cs="Times New Roman"/>
              </w:rPr>
              <w:t>Net profit which is attributable to shareholders of a listed company</w:t>
            </w:r>
          </w:p>
        </w:tc>
        <w:tc>
          <w:tcPr>
            <w:tcW w:w="1842"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584F62">
            <w:pPr>
              <w:pStyle w:val="a5"/>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57,371</w:t>
            </w:r>
          </w:p>
        </w:tc>
        <w:tc>
          <w:tcPr>
            <w:tcW w:w="1843"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584F62">
            <w:pPr>
              <w:pStyle w:val="a5"/>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53,850</w:t>
            </w:r>
          </w:p>
        </w:tc>
        <w:tc>
          <w:tcPr>
            <w:tcW w:w="2324"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584F62">
            <w:pPr>
              <w:pStyle w:val="a5"/>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 xml:space="preserve">6.54  </w:t>
            </w:r>
          </w:p>
        </w:tc>
      </w:tr>
      <w:tr w:rsidR="00C314B1" w:rsidRPr="00791FC4" w:rsidTr="00C314B1">
        <w:trPr>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3463F3" w:rsidRPr="00791FC4" w:rsidRDefault="003463F3" w:rsidP="00584F62">
            <w:pPr>
              <w:pStyle w:val="a5"/>
              <w:adjustRightInd w:val="0"/>
              <w:snapToGrid w:val="0"/>
              <w:spacing w:before="0" w:beforeAutospacing="0" w:after="0" w:afterAutospacing="0" w:line="360" w:lineRule="exact"/>
              <w:jc w:val="both"/>
              <w:rPr>
                <w:rFonts w:ascii="Times New Roman" w:hAnsi="Times New Roman" w:cs="Times New Roman"/>
              </w:rPr>
            </w:pPr>
            <w:r w:rsidRPr="00791FC4">
              <w:rPr>
                <w:rFonts w:ascii="Times New Roman" w:hAnsi="Times New Roman" w:cs="Times New Roman"/>
              </w:rPr>
              <w:t>Net profit which is attributable to shareholders of a listed company and excludes non-recurring profit and loss</w:t>
            </w:r>
          </w:p>
        </w:tc>
        <w:tc>
          <w:tcPr>
            <w:tcW w:w="1842" w:type="dxa"/>
            <w:tcBorders>
              <w:top w:val="single" w:sz="4" w:space="0" w:color="auto"/>
              <w:left w:val="single" w:sz="4" w:space="0" w:color="auto"/>
              <w:bottom w:val="single" w:sz="4" w:space="0" w:color="auto"/>
              <w:right w:val="single" w:sz="4" w:space="0" w:color="auto"/>
            </w:tcBorders>
            <w:vAlign w:val="center"/>
          </w:tcPr>
          <w:p w:rsidR="003463F3" w:rsidRPr="00791FC4" w:rsidRDefault="007513CD" w:rsidP="00584F62">
            <w:pPr>
              <w:pStyle w:val="a5"/>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54,813</w:t>
            </w:r>
          </w:p>
        </w:tc>
        <w:tc>
          <w:tcPr>
            <w:tcW w:w="1843" w:type="dxa"/>
            <w:tcBorders>
              <w:top w:val="single" w:sz="4" w:space="0" w:color="auto"/>
              <w:left w:val="single" w:sz="4" w:space="0" w:color="auto"/>
              <w:bottom w:val="single" w:sz="4" w:space="0" w:color="auto"/>
              <w:right w:val="single" w:sz="4" w:space="0" w:color="auto"/>
            </w:tcBorders>
            <w:vAlign w:val="center"/>
          </w:tcPr>
          <w:p w:rsidR="003463F3" w:rsidRPr="00791FC4" w:rsidRDefault="007513CD" w:rsidP="00584F62">
            <w:pPr>
              <w:pStyle w:val="a5"/>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52,399</w:t>
            </w:r>
          </w:p>
        </w:tc>
        <w:tc>
          <w:tcPr>
            <w:tcW w:w="2324" w:type="dxa"/>
            <w:tcBorders>
              <w:top w:val="single" w:sz="4" w:space="0" w:color="auto"/>
              <w:left w:val="single" w:sz="4" w:space="0" w:color="auto"/>
              <w:bottom w:val="single" w:sz="4" w:space="0" w:color="auto"/>
              <w:right w:val="single" w:sz="4" w:space="0" w:color="auto"/>
            </w:tcBorders>
            <w:vAlign w:val="center"/>
          </w:tcPr>
          <w:p w:rsidR="003463F3" w:rsidRPr="00791FC4" w:rsidRDefault="007513CD" w:rsidP="00584F62">
            <w:pPr>
              <w:pStyle w:val="a5"/>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4.61</w:t>
            </w:r>
          </w:p>
        </w:tc>
      </w:tr>
      <w:tr w:rsidR="00C314B1" w:rsidRPr="00791FC4" w:rsidTr="00C314B1">
        <w:trPr>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3463F3" w:rsidRPr="00791FC4" w:rsidRDefault="003463F3" w:rsidP="00CE22BF">
            <w:pPr>
              <w:pStyle w:val="a5"/>
              <w:adjustRightInd w:val="0"/>
              <w:snapToGrid w:val="0"/>
              <w:spacing w:beforeLines="15" w:beforeAutospacing="0" w:afterLines="15" w:afterAutospacing="0" w:line="360" w:lineRule="exact"/>
              <w:jc w:val="both"/>
              <w:rPr>
                <w:rFonts w:ascii="Times New Roman" w:hAnsi="Times New Roman" w:cs="Times New Roman"/>
              </w:rPr>
            </w:pPr>
            <w:r w:rsidRPr="00791FC4">
              <w:rPr>
                <w:rFonts w:ascii="Times New Roman" w:hAnsi="Times New Roman" w:cs="Times New Roman"/>
              </w:rPr>
              <w:lastRenderedPageBreak/>
              <w:t xml:space="preserve">Basic earnings per share </w:t>
            </w:r>
            <w:r w:rsidR="00CE22BF" w:rsidRPr="00791FC4">
              <w:rPr>
                <w:rFonts w:ascii="Times New Roman" w:hAnsi="Times New Roman" w:cs="Times New Roman"/>
              </w:rPr>
              <w:t>(RMB)</w:t>
            </w:r>
          </w:p>
        </w:tc>
        <w:tc>
          <w:tcPr>
            <w:tcW w:w="1842"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CE22BF">
            <w:pPr>
              <w:pStyle w:val="a5"/>
              <w:adjustRightInd w:val="0"/>
              <w:snapToGrid w:val="0"/>
              <w:spacing w:beforeLines="15" w:beforeAutospacing="0" w:afterLines="15"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2.75</w:t>
            </w:r>
          </w:p>
        </w:tc>
        <w:tc>
          <w:tcPr>
            <w:tcW w:w="1843"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CE22BF">
            <w:pPr>
              <w:pStyle w:val="a5"/>
              <w:adjustRightInd w:val="0"/>
              <w:snapToGrid w:val="0"/>
              <w:spacing w:beforeLines="15" w:beforeAutospacing="0" w:afterLines="15"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2.77</w:t>
            </w:r>
          </w:p>
        </w:tc>
        <w:tc>
          <w:tcPr>
            <w:tcW w:w="2324"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CE22BF">
            <w:pPr>
              <w:pStyle w:val="a5"/>
              <w:adjustRightInd w:val="0"/>
              <w:snapToGrid w:val="0"/>
              <w:spacing w:beforeLines="15" w:beforeAutospacing="0" w:afterLines="15" w:afterAutospacing="0" w:line="360" w:lineRule="exact"/>
              <w:jc w:val="right"/>
              <w:rPr>
                <w:rFonts w:ascii="Times New Roman" w:hAnsi="Times New Roman" w:cs="Times New Roman"/>
              </w:rPr>
            </w:pPr>
            <w:r w:rsidRPr="00791FC4">
              <w:rPr>
                <w:rFonts w:ascii="Times New Roman" w:hAnsi="Times New Roman" w:cs="Times New Roman"/>
              </w:rPr>
              <w:t xml:space="preserve">(0.72)   </w:t>
            </w:r>
          </w:p>
        </w:tc>
      </w:tr>
      <w:tr w:rsidR="00C314B1" w:rsidRPr="00791FC4" w:rsidTr="00C314B1">
        <w:trPr>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3463F3" w:rsidRPr="00791FC4" w:rsidRDefault="003463F3" w:rsidP="00584F62">
            <w:pPr>
              <w:pStyle w:val="a5"/>
              <w:adjustRightInd w:val="0"/>
              <w:snapToGrid w:val="0"/>
              <w:spacing w:before="0" w:beforeAutospacing="0" w:after="0" w:afterAutospacing="0" w:line="360" w:lineRule="exact"/>
              <w:jc w:val="both"/>
              <w:rPr>
                <w:rFonts w:ascii="Times New Roman" w:hAnsi="Times New Roman" w:cs="Times New Roman"/>
              </w:rPr>
            </w:pPr>
            <w:r w:rsidRPr="00791FC4">
              <w:rPr>
                <w:rFonts w:ascii="Times New Roman" w:hAnsi="Times New Roman" w:cs="Times New Roman"/>
              </w:rPr>
              <w:t>ROE (%)</w:t>
            </w:r>
          </w:p>
        </w:tc>
        <w:tc>
          <w:tcPr>
            <w:tcW w:w="1842"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584F62">
            <w:pPr>
              <w:pStyle w:val="a5"/>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15.39</w:t>
            </w:r>
          </w:p>
        </w:tc>
        <w:tc>
          <w:tcPr>
            <w:tcW w:w="1843" w:type="dxa"/>
            <w:tcBorders>
              <w:top w:val="single" w:sz="4" w:space="0" w:color="auto"/>
              <w:left w:val="single" w:sz="4" w:space="0" w:color="auto"/>
              <w:bottom w:val="single" w:sz="4" w:space="0" w:color="auto"/>
              <w:right w:val="single" w:sz="4" w:space="0" w:color="auto"/>
            </w:tcBorders>
            <w:vAlign w:val="center"/>
          </w:tcPr>
          <w:p w:rsidR="003463F3" w:rsidRPr="00791FC4" w:rsidRDefault="008017B6" w:rsidP="00584F62">
            <w:pPr>
              <w:pStyle w:val="a5"/>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17.28</w:t>
            </w:r>
          </w:p>
        </w:tc>
        <w:tc>
          <w:tcPr>
            <w:tcW w:w="2324"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C314B1">
            <w:pPr>
              <w:pStyle w:val="a5"/>
              <w:adjustRightInd w:val="0"/>
              <w:snapToGrid w:val="0"/>
              <w:spacing w:before="0" w:beforeAutospacing="0" w:after="0" w:afterAutospacing="0" w:line="360" w:lineRule="exact"/>
              <w:rPr>
                <w:rFonts w:ascii="Times New Roman" w:hAnsi="Times New Roman" w:cs="Times New Roman"/>
              </w:rPr>
            </w:pPr>
            <w:r w:rsidRPr="00791FC4">
              <w:rPr>
                <w:rFonts w:ascii="Times New Roman" w:hAnsi="Times New Roman" w:cs="Times New Roman"/>
              </w:rPr>
              <w:t>Declining by 1.89 percentage points</w:t>
            </w:r>
          </w:p>
        </w:tc>
      </w:tr>
      <w:tr w:rsidR="00C314B1" w:rsidRPr="00791FC4" w:rsidTr="00C314B1">
        <w:trPr>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224351" w:rsidRPr="00791FC4" w:rsidRDefault="00224351" w:rsidP="00CE22BF">
            <w:pPr>
              <w:pStyle w:val="a5"/>
              <w:adjustRightInd w:val="0"/>
              <w:snapToGrid w:val="0"/>
              <w:spacing w:beforeLines="15" w:beforeAutospacing="0" w:afterLines="15" w:afterAutospacing="0" w:line="360" w:lineRule="exact"/>
              <w:jc w:val="center"/>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4351" w:rsidRPr="00791FC4" w:rsidRDefault="00224351" w:rsidP="00CE22BF">
            <w:pPr>
              <w:pStyle w:val="a5"/>
              <w:adjustRightInd w:val="0"/>
              <w:snapToGrid w:val="0"/>
              <w:spacing w:beforeLines="15" w:beforeAutospacing="0" w:afterLines="15" w:afterAutospacing="0" w:line="360" w:lineRule="exact"/>
              <w:jc w:val="center"/>
              <w:rPr>
                <w:rFonts w:ascii="Times New Roman" w:hAnsi="Times New Roman" w:cs="Times New Roman"/>
                <w:b/>
              </w:rPr>
            </w:pPr>
            <w:r w:rsidRPr="00791FC4">
              <w:rPr>
                <w:rFonts w:ascii="Times New Roman" w:hAnsi="Times New Roman" w:cs="Times New Roman"/>
                <w:b/>
              </w:rPr>
              <w:t>End of Current Reporting Period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24351" w:rsidRPr="00791FC4" w:rsidRDefault="00224351" w:rsidP="00CE22BF">
            <w:pPr>
              <w:pStyle w:val="a5"/>
              <w:adjustRightInd w:val="0"/>
              <w:snapToGrid w:val="0"/>
              <w:spacing w:beforeLines="15" w:beforeAutospacing="0" w:afterLines="15" w:afterAutospacing="0" w:line="360" w:lineRule="exact"/>
              <w:jc w:val="center"/>
              <w:rPr>
                <w:rFonts w:ascii="Times New Roman" w:hAnsi="Times New Roman" w:cs="Times New Roman"/>
                <w:b/>
              </w:rPr>
            </w:pPr>
            <w:r w:rsidRPr="00791FC4">
              <w:rPr>
                <w:rFonts w:ascii="Times New Roman" w:hAnsi="Times New Roman" w:cs="Times New Roman"/>
                <w:b/>
              </w:rPr>
              <w:t>Beginning of Current Reporting Period</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224351" w:rsidRPr="00791FC4" w:rsidRDefault="00224351" w:rsidP="00CE22BF">
            <w:pPr>
              <w:pStyle w:val="a5"/>
              <w:adjustRightInd w:val="0"/>
              <w:snapToGrid w:val="0"/>
              <w:spacing w:beforeLines="15" w:beforeAutospacing="0" w:afterLines="15" w:afterAutospacing="0" w:line="360" w:lineRule="exact"/>
              <w:jc w:val="center"/>
              <w:rPr>
                <w:rFonts w:ascii="Times New Roman" w:hAnsi="Times New Roman" w:cs="Times New Roman"/>
                <w:b/>
              </w:rPr>
            </w:pPr>
            <w:r w:rsidRPr="00791FC4">
              <w:rPr>
                <w:rFonts w:ascii="Times New Roman" w:hAnsi="Times New Roman" w:cs="Times New Roman"/>
                <w:b/>
              </w:rPr>
              <w:t>Increase or Decrease (%)</w:t>
            </w:r>
          </w:p>
        </w:tc>
      </w:tr>
      <w:tr w:rsidR="00C314B1" w:rsidRPr="00791FC4" w:rsidTr="00C314B1">
        <w:trPr>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3463F3" w:rsidRPr="00791FC4" w:rsidRDefault="003463F3" w:rsidP="00CE22BF">
            <w:pPr>
              <w:pStyle w:val="a5"/>
              <w:adjustRightInd w:val="0"/>
              <w:snapToGrid w:val="0"/>
              <w:spacing w:beforeLines="15" w:beforeAutospacing="0" w:afterLines="15" w:afterAutospacing="0" w:line="360" w:lineRule="exact"/>
              <w:jc w:val="both"/>
              <w:rPr>
                <w:rFonts w:ascii="Times New Roman" w:hAnsi="Times New Roman" w:cs="Times New Roman"/>
              </w:rPr>
            </w:pPr>
            <w:r w:rsidRPr="00791FC4">
              <w:rPr>
                <w:rFonts w:ascii="Times New Roman" w:hAnsi="Times New Roman" w:cs="Times New Roman"/>
              </w:rPr>
              <w:t>Total asset</w:t>
            </w:r>
          </w:p>
        </w:tc>
        <w:tc>
          <w:tcPr>
            <w:tcW w:w="1842"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CE22BF">
            <w:pPr>
              <w:pStyle w:val="a5"/>
              <w:adjustRightInd w:val="0"/>
              <w:snapToGrid w:val="0"/>
              <w:spacing w:beforeLines="15" w:beforeAutospacing="0" w:afterLines="15"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6,419,189</w:t>
            </w:r>
          </w:p>
        </w:tc>
        <w:tc>
          <w:tcPr>
            <w:tcW w:w="1843"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CE22BF">
            <w:pPr>
              <w:pStyle w:val="a5"/>
              <w:adjustRightInd w:val="0"/>
              <w:snapToGrid w:val="0"/>
              <w:spacing w:beforeLines="15" w:beforeAutospacing="0" w:afterLines="15"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6,085,895</w:t>
            </w:r>
          </w:p>
        </w:tc>
        <w:tc>
          <w:tcPr>
            <w:tcW w:w="2324"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CE22BF">
            <w:pPr>
              <w:pStyle w:val="a5"/>
              <w:adjustRightInd w:val="0"/>
              <w:snapToGrid w:val="0"/>
              <w:spacing w:beforeLines="15" w:beforeAutospacing="0" w:afterLines="15"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5.48</w:t>
            </w:r>
          </w:p>
        </w:tc>
      </w:tr>
      <w:tr w:rsidR="00C314B1" w:rsidRPr="00791FC4" w:rsidTr="00C314B1">
        <w:trPr>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3463F3" w:rsidRPr="00791FC4" w:rsidRDefault="003463F3" w:rsidP="00584F62">
            <w:pPr>
              <w:pStyle w:val="a5"/>
              <w:adjustRightInd w:val="0"/>
              <w:snapToGrid w:val="0"/>
              <w:spacing w:before="0" w:beforeAutospacing="0" w:after="0" w:afterAutospacing="0" w:line="360" w:lineRule="exact"/>
              <w:jc w:val="both"/>
              <w:rPr>
                <w:rFonts w:ascii="Times New Roman" w:hAnsi="Times New Roman" w:cs="Times New Roman"/>
              </w:rPr>
            </w:pPr>
            <w:r w:rsidRPr="00791FC4">
              <w:rPr>
                <w:rFonts w:ascii="Times New Roman" w:hAnsi="Times New Roman" w:cs="Times New Roman"/>
              </w:rPr>
              <w:t>Owner’s equity which is attributable to shareholders of a listed company</w:t>
            </w:r>
          </w:p>
        </w:tc>
        <w:tc>
          <w:tcPr>
            <w:tcW w:w="1842"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584F62">
            <w:pPr>
              <w:pStyle w:val="a5"/>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417,147</w:t>
            </w:r>
          </w:p>
        </w:tc>
        <w:tc>
          <w:tcPr>
            <w:tcW w:w="1843"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584F62">
            <w:pPr>
              <w:pStyle w:val="a5"/>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350,129</w:t>
            </w:r>
          </w:p>
        </w:tc>
        <w:tc>
          <w:tcPr>
            <w:tcW w:w="2324"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584F62">
            <w:pPr>
              <w:pStyle w:val="a5"/>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 xml:space="preserve">19.14 </w:t>
            </w:r>
          </w:p>
        </w:tc>
      </w:tr>
      <w:tr w:rsidR="00C314B1" w:rsidRPr="00791FC4" w:rsidTr="00C314B1">
        <w:trPr>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3463F3" w:rsidRPr="00791FC4" w:rsidRDefault="007F29C5" w:rsidP="00584F62">
            <w:pPr>
              <w:pStyle w:val="a5"/>
              <w:adjustRightInd w:val="0"/>
              <w:snapToGrid w:val="0"/>
              <w:spacing w:before="0" w:beforeAutospacing="0" w:after="0" w:afterAutospacing="0" w:line="360" w:lineRule="exact"/>
              <w:jc w:val="both"/>
              <w:rPr>
                <w:rFonts w:ascii="Times New Roman" w:hAnsi="Times New Roman" w:cs="Times New Roman"/>
              </w:rPr>
            </w:pPr>
            <w:r w:rsidRPr="00791FC4">
              <w:rPr>
                <w:rFonts w:ascii="Times New Roman" w:hAnsi="Times New Roman" w:cs="Times New Roman"/>
              </w:rPr>
              <w:t>Owner’s equity which is attributable to common shareholders of parent company</w:t>
            </w:r>
          </w:p>
        </w:tc>
        <w:tc>
          <w:tcPr>
            <w:tcW w:w="1842"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584F62">
            <w:pPr>
              <w:pStyle w:val="a5"/>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391,242</w:t>
            </w:r>
          </w:p>
        </w:tc>
        <w:tc>
          <w:tcPr>
            <w:tcW w:w="1843"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584F62">
            <w:pPr>
              <w:pStyle w:val="a5"/>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324,224</w:t>
            </w:r>
          </w:p>
        </w:tc>
        <w:tc>
          <w:tcPr>
            <w:tcW w:w="2324"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584F62">
            <w:pPr>
              <w:pStyle w:val="a5"/>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 xml:space="preserve">20.67 </w:t>
            </w:r>
          </w:p>
        </w:tc>
      </w:tr>
      <w:tr w:rsidR="00C314B1" w:rsidRPr="00791FC4" w:rsidTr="00C314B1">
        <w:trPr>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6083F" w:rsidRPr="00791FC4" w:rsidRDefault="0096083F" w:rsidP="00CE22BF">
            <w:pPr>
              <w:pStyle w:val="a5"/>
              <w:adjustRightInd w:val="0"/>
              <w:snapToGrid w:val="0"/>
              <w:spacing w:beforeLines="15" w:beforeAutospacing="0" w:afterLines="15" w:afterAutospacing="0" w:line="360" w:lineRule="exact"/>
              <w:jc w:val="both"/>
              <w:rPr>
                <w:rFonts w:ascii="Times New Roman" w:hAnsi="Times New Roman" w:cs="Times New Roman"/>
              </w:rPr>
            </w:pPr>
            <w:r w:rsidRPr="00791FC4">
              <w:rPr>
                <w:rFonts w:ascii="Times New Roman" w:hAnsi="Times New Roman" w:cs="Times New Roman"/>
              </w:rPr>
              <w:t>Capital of common stock</w:t>
            </w:r>
          </w:p>
        </w:tc>
        <w:tc>
          <w:tcPr>
            <w:tcW w:w="1842" w:type="dxa"/>
            <w:tcBorders>
              <w:top w:val="single" w:sz="4" w:space="0" w:color="auto"/>
              <w:left w:val="single" w:sz="4" w:space="0" w:color="auto"/>
              <w:bottom w:val="single" w:sz="4" w:space="0" w:color="auto"/>
              <w:right w:val="single" w:sz="4" w:space="0" w:color="auto"/>
            </w:tcBorders>
            <w:vAlign w:val="center"/>
          </w:tcPr>
          <w:p w:rsidR="0096083F" w:rsidRPr="00791FC4" w:rsidRDefault="0096083F" w:rsidP="00CE22BF">
            <w:pPr>
              <w:pStyle w:val="a5"/>
              <w:adjustRightInd w:val="0"/>
              <w:snapToGrid w:val="0"/>
              <w:spacing w:beforeLines="15" w:beforeAutospacing="0" w:afterLines="15"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20,774</w:t>
            </w:r>
          </w:p>
        </w:tc>
        <w:tc>
          <w:tcPr>
            <w:tcW w:w="1843" w:type="dxa"/>
            <w:tcBorders>
              <w:top w:val="single" w:sz="4" w:space="0" w:color="auto"/>
              <w:left w:val="single" w:sz="4" w:space="0" w:color="auto"/>
              <w:bottom w:val="single" w:sz="4" w:space="0" w:color="auto"/>
              <w:right w:val="single" w:sz="4" w:space="0" w:color="auto"/>
            </w:tcBorders>
            <w:vAlign w:val="center"/>
          </w:tcPr>
          <w:p w:rsidR="0096083F" w:rsidRPr="00791FC4" w:rsidRDefault="0096083F" w:rsidP="00CE22BF">
            <w:pPr>
              <w:pStyle w:val="a5"/>
              <w:adjustRightInd w:val="0"/>
              <w:snapToGrid w:val="0"/>
              <w:spacing w:beforeLines="15" w:beforeAutospacing="0" w:afterLines="15"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19,052</w:t>
            </w:r>
          </w:p>
        </w:tc>
        <w:tc>
          <w:tcPr>
            <w:tcW w:w="2324" w:type="dxa"/>
            <w:tcBorders>
              <w:top w:val="single" w:sz="4" w:space="0" w:color="auto"/>
              <w:left w:val="single" w:sz="4" w:space="0" w:color="auto"/>
              <w:bottom w:val="single" w:sz="4" w:space="0" w:color="auto"/>
              <w:right w:val="single" w:sz="4" w:space="0" w:color="auto"/>
            </w:tcBorders>
            <w:vAlign w:val="center"/>
          </w:tcPr>
          <w:p w:rsidR="0096083F" w:rsidRPr="00791FC4" w:rsidRDefault="00584F62" w:rsidP="00CE22BF">
            <w:pPr>
              <w:pStyle w:val="a5"/>
              <w:adjustRightInd w:val="0"/>
              <w:snapToGrid w:val="0"/>
              <w:spacing w:beforeLines="15" w:beforeAutospacing="0" w:afterLines="15"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9.04</w:t>
            </w:r>
          </w:p>
        </w:tc>
      </w:tr>
      <w:tr w:rsidR="00C314B1" w:rsidRPr="00791FC4" w:rsidTr="00C314B1">
        <w:trPr>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3463F3" w:rsidRPr="00791FC4" w:rsidRDefault="007F29C5" w:rsidP="00584F62">
            <w:pPr>
              <w:pStyle w:val="a5"/>
              <w:adjustRightInd w:val="0"/>
              <w:snapToGrid w:val="0"/>
              <w:spacing w:before="0" w:beforeAutospacing="0" w:after="0" w:afterAutospacing="0" w:line="360" w:lineRule="exact"/>
              <w:jc w:val="both"/>
              <w:rPr>
                <w:rFonts w:ascii="Times New Roman" w:hAnsi="Times New Roman" w:cs="Times New Roman"/>
              </w:rPr>
            </w:pPr>
            <w:r w:rsidRPr="00791FC4">
              <w:rPr>
                <w:rFonts w:ascii="Times New Roman" w:hAnsi="Times New Roman" w:cs="Times New Roman"/>
              </w:rPr>
              <w:t>Net assets per share which are attributable to common shareholders of parent company (</w:t>
            </w:r>
            <w:proofErr w:type="spellStart"/>
            <w:r w:rsidRPr="00791FC4">
              <w:rPr>
                <w:rFonts w:ascii="Times New Roman" w:hAnsi="Times New Roman" w:cs="Times New Roman"/>
              </w:rPr>
              <w:t>RMB</w:t>
            </w:r>
            <w:proofErr w:type="spellEnd"/>
            <w:r w:rsidRPr="00791FC4">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584F62">
            <w:pPr>
              <w:pStyle w:val="a5"/>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18.83</w:t>
            </w:r>
          </w:p>
        </w:tc>
        <w:tc>
          <w:tcPr>
            <w:tcW w:w="1843"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584F62">
            <w:pPr>
              <w:pStyle w:val="a5"/>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17.02</w:t>
            </w:r>
          </w:p>
        </w:tc>
        <w:tc>
          <w:tcPr>
            <w:tcW w:w="2324"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584F62">
            <w:pPr>
              <w:pStyle w:val="a5"/>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 xml:space="preserve">10.63  </w:t>
            </w:r>
          </w:p>
        </w:tc>
      </w:tr>
      <w:tr w:rsidR="00C314B1" w:rsidRPr="00791FC4" w:rsidTr="00C314B1">
        <w:trPr>
          <w:jc w:val="center"/>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3463F3" w:rsidRPr="00791FC4" w:rsidRDefault="003463F3" w:rsidP="00584F62">
            <w:pPr>
              <w:pStyle w:val="a5"/>
              <w:adjustRightInd w:val="0"/>
              <w:snapToGrid w:val="0"/>
              <w:spacing w:before="0" w:beforeAutospacing="0" w:after="0" w:afterAutospacing="0" w:line="360" w:lineRule="exact"/>
              <w:jc w:val="both"/>
              <w:rPr>
                <w:rFonts w:ascii="Times New Roman" w:hAnsi="Times New Roman" w:cs="Times New Roman"/>
              </w:rPr>
            </w:pPr>
            <w:proofErr w:type="spellStart"/>
            <w:r w:rsidRPr="00791FC4">
              <w:rPr>
                <w:rFonts w:ascii="Times New Roman" w:hAnsi="Times New Roman" w:cs="Times New Roman"/>
              </w:rPr>
              <w:t>NPA</w:t>
            </w:r>
            <w:proofErr w:type="spellEnd"/>
            <w:r w:rsidRPr="00791FC4">
              <w:rPr>
                <w:rFonts w:ascii="Times New Roman" w:hAnsi="Times New Roman" w:cs="Times New Roman"/>
              </w:rPr>
              <w:t xml:space="preserve"> rate</w:t>
            </w:r>
          </w:p>
        </w:tc>
        <w:tc>
          <w:tcPr>
            <w:tcW w:w="1842"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584F62">
            <w:pPr>
              <w:pStyle w:val="a5"/>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1.59</w:t>
            </w:r>
          </w:p>
        </w:tc>
        <w:tc>
          <w:tcPr>
            <w:tcW w:w="1843"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584F62">
            <w:pPr>
              <w:pStyle w:val="a5"/>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791FC4">
              <w:rPr>
                <w:rFonts w:ascii="Times New Roman" w:hAnsi="Times New Roman" w:cs="Times New Roman"/>
              </w:rPr>
              <w:t>1.65</w:t>
            </w:r>
          </w:p>
        </w:tc>
        <w:tc>
          <w:tcPr>
            <w:tcW w:w="2324" w:type="dxa"/>
            <w:tcBorders>
              <w:top w:val="single" w:sz="4" w:space="0" w:color="auto"/>
              <w:left w:val="single" w:sz="4" w:space="0" w:color="auto"/>
              <w:bottom w:val="single" w:sz="4" w:space="0" w:color="auto"/>
              <w:right w:val="single" w:sz="4" w:space="0" w:color="auto"/>
            </w:tcBorders>
            <w:vAlign w:val="center"/>
          </w:tcPr>
          <w:p w:rsidR="003463F3" w:rsidRPr="00791FC4" w:rsidRDefault="003463F3" w:rsidP="00C314B1">
            <w:pPr>
              <w:pStyle w:val="a5"/>
              <w:adjustRightInd w:val="0"/>
              <w:snapToGrid w:val="0"/>
              <w:spacing w:before="0" w:beforeAutospacing="0" w:after="0" w:afterAutospacing="0" w:line="360" w:lineRule="exact"/>
              <w:rPr>
                <w:rFonts w:ascii="Times New Roman" w:hAnsi="Times New Roman" w:cs="Times New Roman"/>
              </w:rPr>
            </w:pPr>
            <w:r w:rsidRPr="00791FC4">
              <w:rPr>
                <w:rFonts w:ascii="Times New Roman" w:hAnsi="Times New Roman" w:cs="Times New Roman"/>
              </w:rPr>
              <w:t>Declining 0.06 percentage points</w:t>
            </w:r>
          </w:p>
        </w:tc>
      </w:tr>
    </w:tbl>
    <w:p w:rsidR="003463F3" w:rsidRPr="00791FC4" w:rsidRDefault="00224351" w:rsidP="00CE22BF">
      <w:pPr>
        <w:pStyle w:val="a5"/>
        <w:adjustRightInd w:val="0"/>
        <w:snapToGrid w:val="0"/>
        <w:spacing w:before="0" w:beforeAutospacing="0" w:after="0" w:afterAutospacing="0"/>
        <w:ind w:firstLineChars="200" w:firstLine="420"/>
        <w:jc w:val="both"/>
        <w:rPr>
          <w:rFonts w:ascii="Times New Roman" w:hAnsi="Times New Roman" w:cs="Times New Roman"/>
          <w:sz w:val="21"/>
          <w:szCs w:val="21"/>
        </w:rPr>
      </w:pPr>
      <w:r w:rsidRPr="00791FC4">
        <w:rPr>
          <w:rFonts w:ascii="Times New Roman" w:hAnsi="Times New Roman" w:cs="Times New Roman"/>
          <w:sz w:val="21"/>
          <w:szCs w:val="21"/>
        </w:rPr>
        <w:t xml:space="preserve">Note: 1. In April 2017, </w:t>
      </w:r>
      <w:proofErr w:type="spellStart"/>
      <w:r w:rsidRPr="00791FC4">
        <w:rPr>
          <w:rFonts w:ascii="Times New Roman" w:hAnsi="Times New Roman" w:cs="Times New Roman"/>
          <w:sz w:val="21"/>
          <w:szCs w:val="21"/>
        </w:rPr>
        <w:t>IB</w:t>
      </w:r>
      <w:proofErr w:type="spellEnd"/>
      <w:r w:rsidRPr="00791FC4">
        <w:rPr>
          <w:rFonts w:ascii="Times New Roman" w:hAnsi="Times New Roman" w:cs="Times New Roman"/>
          <w:sz w:val="21"/>
          <w:szCs w:val="21"/>
        </w:rPr>
        <w:t xml:space="preserve"> completed Private Offering of Common </w:t>
      </w:r>
      <w:proofErr w:type="spellStart"/>
      <w:r w:rsidRPr="00791FC4">
        <w:rPr>
          <w:rFonts w:ascii="Times New Roman" w:hAnsi="Times New Roman" w:cs="Times New Roman"/>
          <w:sz w:val="21"/>
          <w:szCs w:val="21"/>
        </w:rPr>
        <w:t>RMB</w:t>
      </w:r>
      <w:proofErr w:type="spellEnd"/>
      <w:r w:rsidRPr="00791FC4">
        <w:rPr>
          <w:rFonts w:ascii="Times New Roman" w:hAnsi="Times New Roman" w:cs="Times New Roman"/>
          <w:sz w:val="21"/>
          <w:szCs w:val="21"/>
        </w:rPr>
        <w:t xml:space="preserve"> Share, increasing capital stock by 1,721,854,000 common shares.</w:t>
      </w:r>
    </w:p>
    <w:p w:rsidR="003463F3" w:rsidRPr="00791FC4" w:rsidRDefault="003463F3" w:rsidP="00CE22BF">
      <w:pPr>
        <w:pStyle w:val="a5"/>
        <w:adjustRightInd w:val="0"/>
        <w:snapToGrid w:val="0"/>
        <w:spacing w:before="0" w:beforeAutospacing="0" w:after="0" w:afterAutospacing="0"/>
        <w:ind w:firstLineChars="200" w:firstLine="420"/>
        <w:jc w:val="both"/>
        <w:rPr>
          <w:rFonts w:ascii="Times New Roman" w:hAnsi="Times New Roman" w:cs="Times New Roman"/>
          <w:sz w:val="21"/>
          <w:szCs w:val="21"/>
        </w:rPr>
      </w:pPr>
      <w:r w:rsidRPr="00791FC4">
        <w:rPr>
          <w:rFonts w:ascii="Times New Roman" w:hAnsi="Times New Roman" w:cs="Times New Roman"/>
          <w:sz w:val="21"/>
          <w:szCs w:val="21"/>
        </w:rPr>
        <w:t xml:space="preserve">2. Basic earnings per share and ROE are calculated based on Compilation Rules for Information Disclosure </w:t>
      </w:r>
      <w:proofErr w:type="gramStart"/>
      <w:r w:rsidRPr="00791FC4">
        <w:rPr>
          <w:rFonts w:ascii="Times New Roman" w:hAnsi="Times New Roman" w:cs="Times New Roman"/>
          <w:sz w:val="21"/>
          <w:szCs w:val="21"/>
        </w:rPr>
        <w:t>By</w:t>
      </w:r>
      <w:proofErr w:type="gramEnd"/>
      <w:r w:rsidRPr="00791FC4">
        <w:rPr>
          <w:rFonts w:ascii="Times New Roman" w:hAnsi="Times New Roman" w:cs="Times New Roman"/>
          <w:sz w:val="21"/>
          <w:szCs w:val="21"/>
        </w:rPr>
        <w:t xml:space="preserve"> Companies Issuing Securities through Public Offering No.</w:t>
      </w:r>
      <w:r w:rsidR="00CE22BF">
        <w:rPr>
          <w:rFonts w:ascii="Times New Roman" w:hAnsi="Times New Roman" w:cs="Times New Roman" w:hint="eastAsia"/>
          <w:sz w:val="21"/>
          <w:szCs w:val="21"/>
        </w:rPr>
        <w:t xml:space="preserve"> </w:t>
      </w:r>
      <w:r w:rsidRPr="00791FC4">
        <w:rPr>
          <w:rFonts w:ascii="Times New Roman" w:hAnsi="Times New Roman" w:cs="Times New Roman"/>
          <w:sz w:val="21"/>
          <w:szCs w:val="21"/>
        </w:rPr>
        <w:t xml:space="preserve">9 --- Calculation and Disclosure of Return on Equity and Earnings per Share (revised in 2010). </w:t>
      </w:r>
      <w:proofErr w:type="gramStart"/>
      <w:r w:rsidRPr="00791FC4">
        <w:rPr>
          <w:rFonts w:ascii="Times New Roman" w:hAnsi="Times New Roman" w:cs="Times New Roman"/>
          <w:sz w:val="21"/>
          <w:szCs w:val="21"/>
        </w:rPr>
        <w:t>Basic earnings per share during the reporting period is</w:t>
      </w:r>
      <w:proofErr w:type="gramEnd"/>
      <w:r w:rsidRPr="00791FC4">
        <w:rPr>
          <w:rFonts w:ascii="Times New Roman" w:hAnsi="Times New Roman" w:cs="Times New Roman"/>
          <w:sz w:val="21"/>
          <w:szCs w:val="21"/>
        </w:rPr>
        <w:t xml:space="preserve"> calculated in light of the weighted average of 20,343,727,251 outstanding common shares. </w:t>
      </w:r>
    </w:p>
    <w:p w:rsidR="00224351" w:rsidRPr="00791FC4" w:rsidRDefault="003463F3" w:rsidP="00CE22BF">
      <w:pPr>
        <w:pStyle w:val="a5"/>
        <w:adjustRightInd w:val="0"/>
        <w:snapToGrid w:val="0"/>
        <w:spacing w:before="0" w:beforeAutospacing="0" w:after="0" w:afterAutospacing="0"/>
        <w:ind w:firstLineChars="200" w:firstLine="420"/>
        <w:jc w:val="both"/>
        <w:rPr>
          <w:rFonts w:ascii="Times New Roman" w:hAnsi="Times New Roman" w:cs="Times New Roman"/>
          <w:sz w:val="21"/>
          <w:szCs w:val="21"/>
        </w:rPr>
      </w:pPr>
      <w:r w:rsidRPr="00791FC4">
        <w:rPr>
          <w:rFonts w:ascii="Times New Roman" w:hAnsi="Times New Roman" w:cs="Times New Roman"/>
          <w:sz w:val="21"/>
          <w:szCs w:val="21"/>
        </w:rPr>
        <w:t xml:space="preserve">3. In June 2017, </w:t>
      </w:r>
      <w:proofErr w:type="spellStart"/>
      <w:r w:rsidRPr="00791FC4">
        <w:rPr>
          <w:rFonts w:ascii="Times New Roman" w:hAnsi="Times New Roman" w:cs="Times New Roman"/>
          <w:sz w:val="21"/>
          <w:szCs w:val="21"/>
        </w:rPr>
        <w:t>IB</w:t>
      </w:r>
      <w:proofErr w:type="spellEnd"/>
      <w:r w:rsidRPr="00791FC4">
        <w:rPr>
          <w:rFonts w:ascii="Times New Roman" w:hAnsi="Times New Roman" w:cs="Times New Roman"/>
          <w:sz w:val="21"/>
          <w:szCs w:val="21"/>
        </w:rPr>
        <w:t xml:space="preserve"> issued preferred stock: Industrial Preferred 1 and 2, with the total dividends of </w:t>
      </w:r>
      <w:proofErr w:type="spellStart"/>
      <w:r w:rsidRPr="00791FC4">
        <w:rPr>
          <w:rFonts w:ascii="Times New Roman" w:hAnsi="Times New Roman" w:cs="Times New Roman"/>
          <w:sz w:val="21"/>
          <w:szCs w:val="21"/>
        </w:rPr>
        <w:t>RMB</w:t>
      </w:r>
      <w:proofErr w:type="spellEnd"/>
      <w:r w:rsidRPr="00791FC4">
        <w:rPr>
          <w:rFonts w:ascii="Times New Roman" w:hAnsi="Times New Roman" w:cs="Times New Roman"/>
          <w:sz w:val="21"/>
          <w:szCs w:val="21"/>
        </w:rPr>
        <w:t xml:space="preserve"> 1.482 billion. </w:t>
      </w:r>
      <w:proofErr w:type="spellStart"/>
      <w:r w:rsidRPr="00791FC4">
        <w:rPr>
          <w:rFonts w:ascii="Times New Roman" w:hAnsi="Times New Roman" w:cs="Times New Roman"/>
          <w:sz w:val="21"/>
          <w:szCs w:val="21"/>
        </w:rPr>
        <w:t>IB</w:t>
      </w:r>
      <w:proofErr w:type="spellEnd"/>
      <w:r w:rsidRPr="00791FC4">
        <w:rPr>
          <w:rFonts w:ascii="Times New Roman" w:hAnsi="Times New Roman" w:cs="Times New Roman"/>
          <w:sz w:val="21"/>
          <w:szCs w:val="21"/>
        </w:rPr>
        <w:t xml:space="preserve"> considered the impact of issuing dividends of two phases of preferred stock when calculating basic earnings per share and ROE disclosed in this report.</w:t>
      </w:r>
    </w:p>
    <w:p w:rsidR="00224351" w:rsidRPr="00791FC4" w:rsidRDefault="00224351" w:rsidP="00CE22BF">
      <w:pPr>
        <w:pStyle w:val="a5"/>
        <w:spacing w:after="0" w:afterAutospacing="0"/>
        <w:ind w:firstLineChars="200" w:firstLine="480"/>
        <w:jc w:val="both"/>
        <w:rPr>
          <w:rFonts w:ascii="Times New Roman" w:hAnsi="Times New Roman" w:cs="Times New Roman"/>
        </w:rPr>
      </w:pPr>
      <w:r w:rsidRPr="00791FC4">
        <w:rPr>
          <w:rFonts w:ascii="Times New Roman" w:hAnsi="Times New Roman" w:cs="Times New Roman"/>
        </w:rPr>
        <w:t>II. Description of Operation Performance and Financial Conditions</w:t>
      </w:r>
    </w:p>
    <w:p w:rsidR="00F61FBA" w:rsidRPr="00791FC4" w:rsidRDefault="00F61FBA" w:rsidP="00CE22BF">
      <w:pPr>
        <w:pStyle w:val="a5"/>
        <w:adjustRightInd w:val="0"/>
        <w:snapToGrid w:val="0"/>
        <w:spacing w:before="0" w:beforeAutospacing="0" w:after="0" w:afterAutospacing="0" w:line="440" w:lineRule="exact"/>
        <w:ind w:firstLineChars="200" w:firstLine="480"/>
        <w:jc w:val="both"/>
        <w:rPr>
          <w:rFonts w:ascii="Times New Roman" w:hAnsi="Times New Roman" w:cs="Times New Roman"/>
        </w:rPr>
      </w:pPr>
      <w:r w:rsidRPr="00791FC4">
        <w:rPr>
          <w:rFonts w:ascii="Times New Roman" w:hAnsi="Times New Roman" w:cs="Times New Roman"/>
        </w:rPr>
        <w:t xml:space="preserve">During the reporting period, </w:t>
      </w:r>
      <w:proofErr w:type="spellStart"/>
      <w:r w:rsidRPr="00791FC4">
        <w:rPr>
          <w:rFonts w:ascii="Times New Roman" w:hAnsi="Times New Roman" w:cs="Times New Roman"/>
        </w:rPr>
        <w:t>IB</w:t>
      </w:r>
      <w:proofErr w:type="spellEnd"/>
      <w:r w:rsidRPr="00791FC4">
        <w:rPr>
          <w:rFonts w:ascii="Times New Roman" w:hAnsi="Times New Roman" w:cs="Times New Roman"/>
        </w:rPr>
        <w:t xml:space="preserve"> actively addressed changes in the external operating environment, adhered to stable progressing, promoted the restructuring of the balance sheet, promoted the reform of institutional mechanisms stably, and kept stable development of various businesses. The business condition was generally in line with expectations.</w:t>
      </w:r>
    </w:p>
    <w:p w:rsidR="003463F3" w:rsidRPr="00791FC4" w:rsidRDefault="00F61FBA" w:rsidP="00CE22BF">
      <w:pPr>
        <w:spacing w:line="440" w:lineRule="exact"/>
        <w:ind w:firstLineChars="200" w:firstLine="480"/>
      </w:pPr>
      <w:r w:rsidRPr="00791FC4">
        <w:rPr>
          <w:color w:val="000000"/>
          <w:sz w:val="24"/>
        </w:rPr>
        <w:lastRenderedPageBreak/>
        <w:t xml:space="preserve">With steady development of various businesses and assets growth, </w:t>
      </w:r>
      <w:proofErr w:type="spellStart"/>
      <w:r w:rsidRPr="00791FC4">
        <w:rPr>
          <w:color w:val="000000"/>
          <w:sz w:val="24"/>
        </w:rPr>
        <w:t>IB</w:t>
      </w:r>
      <w:proofErr w:type="spellEnd"/>
      <w:r w:rsidRPr="00791FC4">
        <w:rPr>
          <w:color w:val="000000"/>
          <w:sz w:val="24"/>
        </w:rPr>
        <w:t xml:space="preserve"> reached a total asset of </w:t>
      </w:r>
      <w:proofErr w:type="spellStart"/>
      <w:r w:rsidRPr="00791FC4">
        <w:rPr>
          <w:color w:val="000000"/>
          <w:sz w:val="24"/>
        </w:rPr>
        <w:t>RMB</w:t>
      </w:r>
      <w:proofErr w:type="spellEnd"/>
      <w:r w:rsidRPr="00791FC4">
        <w:rPr>
          <w:color w:val="000000"/>
          <w:sz w:val="24"/>
        </w:rPr>
        <w:t xml:space="preserve"> 6,419.189 billion at the end of the report period, increased by 5.48% over the beginning of the year. Profitability is maintained at a good level, realizing a total profit of </w:t>
      </w:r>
      <w:proofErr w:type="spellStart"/>
      <w:r w:rsidRPr="00791FC4">
        <w:rPr>
          <w:color w:val="000000"/>
          <w:sz w:val="24"/>
        </w:rPr>
        <w:t>RMB</w:t>
      </w:r>
      <w:proofErr w:type="spellEnd"/>
      <w:r w:rsidRPr="00791FC4">
        <w:rPr>
          <w:color w:val="000000"/>
          <w:sz w:val="24"/>
        </w:rPr>
        <w:t xml:space="preserve"> 65.046 billion with a </w:t>
      </w:r>
      <w:proofErr w:type="spellStart"/>
      <w:r w:rsidRPr="00791FC4">
        <w:rPr>
          <w:color w:val="000000"/>
          <w:sz w:val="24"/>
        </w:rPr>
        <w:t>YOY</w:t>
      </w:r>
      <w:proofErr w:type="spellEnd"/>
      <w:r w:rsidRPr="00791FC4">
        <w:rPr>
          <w:color w:val="000000"/>
          <w:sz w:val="24"/>
        </w:rPr>
        <w:t xml:space="preserve"> increase of 1.75%; net profit of the Company which is attributable to shareholders of parent company is </w:t>
      </w:r>
      <w:proofErr w:type="spellStart"/>
      <w:r w:rsidRPr="00791FC4">
        <w:rPr>
          <w:color w:val="000000"/>
          <w:sz w:val="24"/>
        </w:rPr>
        <w:t>RMB</w:t>
      </w:r>
      <w:proofErr w:type="spellEnd"/>
      <w:r w:rsidRPr="00791FC4">
        <w:rPr>
          <w:color w:val="000000"/>
          <w:sz w:val="24"/>
        </w:rPr>
        <w:t xml:space="preserve"> 57.371 billion with a </w:t>
      </w:r>
      <w:proofErr w:type="spellStart"/>
      <w:r w:rsidRPr="00791FC4">
        <w:rPr>
          <w:color w:val="000000"/>
          <w:sz w:val="24"/>
        </w:rPr>
        <w:t>YOY</w:t>
      </w:r>
      <w:proofErr w:type="spellEnd"/>
      <w:r w:rsidRPr="00791FC4">
        <w:rPr>
          <w:color w:val="000000"/>
          <w:sz w:val="24"/>
        </w:rPr>
        <w:t xml:space="preserve"> growth of 6.54%. The asset quality remains controllable in general. At the end of the reporting period, </w:t>
      </w:r>
      <w:proofErr w:type="spellStart"/>
      <w:r w:rsidRPr="00791FC4">
        <w:rPr>
          <w:color w:val="000000"/>
          <w:sz w:val="24"/>
        </w:rPr>
        <w:t>IB’s</w:t>
      </w:r>
      <w:proofErr w:type="spellEnd"/>
      <w:r w:rsidRPr="00791FC4">
        <w:rPr>
          <w:color w:val="000000"/>
          <w:sz w:val="24"/>
        </w:rPr>
        <w:t xml:space="preserve"> </w:t>
      </w:r>
      <w:proofErr w:type="spellStart"/>
      <w:r w:rsidRPr="00791FC4">
        <w:rPr>
          <w:color w:val="000000"/>
          <w:sz w:val="24"/>
        </w:rPr>
        <w:t>NPA</w:t>
      </w:r>
      <w:proofErr w:type="spellEnd"/>
      <w:r w:rsidRPr="00791FC4">
        <w:rPr>
          <w:color w:val="000000"/>
          <w:sz w:val="24"/>
        </w:rPr>
        <w:t xml:space="preserve"> rate was 1.59%, declining by 0.06 percentage point compared with the beginning of the period.</w:t>
      </w:r>
    </w:p>
    <w:p w:rsidR="00224351" w:rsidRPr="00791FC4" w:rsidRDefault="00224351" w:rsidP="00CE22BF">
      <w:pPr>
        <w:pStyle w:val="a5"/>
        <w:spacing w:after="0" w:afterAutospacing="0"/>
        <w:ind w:firstLineChars="200" w:firstLine="480"/>
        <w:jc w:val="both"/>
        <w:rPr>
          <w:rFonts w:ascii="Times New Roman" w:hAnsi="Times New Roman" w:cs="Times New Roman"/>
        </w:rPr>
      </w:pPr>
      <w:r w:rsidRPr="00791FC4">
        <w:rPr>
          <w:rFonts w:ascii="Times New Roman" w:hAnsi="Times New Roman" w:cs="Times New Roman"/>
        </w:rPr>
        <w:t>III. Risk Warning</w:t>
      </w:r>
    </w:p>
    <w:p w:rsidR="006B4E3D" w:rsidRPr="00791FC4" w:rsidRDefault="006B4E3D" w:rsidP="00CE22BF">
      <w:pPr>
        <w:pStyle w:val="a5"/>
        <w:adjustRightInd w:val="0"/>
        <w:snapToGrid w:val="0"/>
        <w:spacing w:before="0" w:beforeAutospacing="0" w:after="0" w:afterAutospacing="0" w:line="440" w:lineRule="exact"/>
        <w:ind w:firstLineChars="200" w:firstLine="480"/>
        <w:jc w:val="both"/>
        <w:rPr>
          <w:rFonts w:ascii="Times New Roman" w:hAnsi="Times New Roman" w:cs="Times New Roman"/>
        </w:rPr>
      </w:pPr>
      <w:r w:rsidRPr="00791FC4">
        <w:rPr>
          <w:rFonts w:ascii="Times New Roman" w:hAnsi="Times New Roman" w:cs="Times New Roman"/>
        </w:rPr>
        <w:t>The major financial data for 2017 contained in this announcement is preliminary accounting data, which may be different from those disclosed in the 2017 annual report of IB. However, the discrepancy above will not exceed 10%. All investors are suggested to pay attention to investment risks.</w:t>
      </w:r>
    </w:p>
    <w:p w:rsidR="00224351" w:rsidRPr="00791FC4" w:rsidRDefault="00224351" w:rsidP="00CE22BF">
      <w:pPr>
        <w:pStyle w:val="a5"/>
        <w:spacing w:after="0" w:afterAutospacing="0"/>
        <w:ind w:firstLineChars="200" w:firstLine="480"/>
        <w:jc w:val="both"/>
        <w:rPr>
          <w:rFonts w:ascii="Times New Roman" w:hAnsi="Times New Roman" w:cs="Times New Roman"/>
        </w:rPr>
      </w:pPr>
      <w:r w:rsidRPr="00791FC4">
        <w:rPr>
          <w:rFonts w:ascii="Times New Roman" w:hAnsi="Times New Roman" w:cs="Times New Roman"/>
        </w:rPr>
        <w:t>IV. Reference Documents</w:t>
      </w:r>
    </w:p>
    <w:p w:rsidR="00224351" w:rsidRPr="00791FC4" w:rsidRDefault="00224351" w:rsidP="00CE22BF">
      <w:pPr>
        <w:pStyle w:val="a5"/>
        <w:adjustRightInd w:val="0"/>
        <w:snapToGrid w:val="0"/>
        <w:spacing w:before="0" w:beforeAutospacing="0" w:after="0" w:afterAutospacing="0" w:line="440" w:lineRule="exact"/>
        <w:ind w:firstLineChars="200" w:firstLine="480"/>
        <w:jc w:val="both"/>
        <w:rPr>
          <w:rFonts w:ascii="Times New Roman" w:hAnsi="Times New Roman" w:cs="Times New Roman"/>
        </w:rPr>
      </w:pPr>
      <w:r w:rsidRPr="00791FC4">
        <w:rPr>
          <w:rFonts w:ascii="Times New Roman" w:hAnsi="Times New Roman" w:cs="Times New Roman"/>
        </w:rPr>
        <w:t xml:space="preserve">Comparative Balance Sheet and Profit Statement signed and stamped by </w:t>
      </w:r>
      <w:proofErr w:type="spellStart"/>
      <w:proofErr w:type="gramStart"/>
      <w:r w:rsidRPr="00791FC4">
        <w:rPr>
          <w:rFonts w:ascii="Times New Roman" w:hAnsi="Times New Roman" w:cs="Times New Roman"/>
        </w:rPr>
        <w:t>Gao</w:t>
      </w:r>
      <w:proofErr w:type="spellEnd"/>
      <w:proofErr w:type="gramEnd"/>
      <w:r w:rsidRPr="00791FC4">
        <w:rPr>
          <w:rFonts w:ascii="Times New Roman" w:hAnsi="Times New Roman" w:cs="Times New Roman"/>
        </w:rPr>
        <w:t xml:space="preserve"> </w:t>
      </w:r>
      <w:proofErr w:type="spellStart"/>
      <w:r w:rsidRPr="00791FC4">
        <w:rPr>
          <w:rFonts w:ascii="Times New Roman" w:hAnsi="Times New Roman" w:cs="Times New Roman"/>
        </w:rPr>
        <w:t>Jianping</w:t>
      </w:r>
      <w:proofErr w:type="spellEnd"/>
      <w:r w:rsidRPr="00791FC4">
        <w:rPr>
          <w:rFonts w:ascii="Times New Roman" w:hAnsi="Times New Roman" w:cs="Times New Roman"/>
        </w:rPr>
        <w:t xml:space="preserve">, chairman of </w:t>
      </w:r>
      <w:proofErr w:type="spellStart"/>
      <w:r w:rsidRPr="00791FC4">
        <w:rPr>
          <w:rFonts w:ascii="Times New Roman" w:hAnsi="Times New Roman" w:cs="Times New Roman"/>
        </w:rPr>
        <w:t>IB</w:t>
      </w:r>
      <w:proofErr w:type="spellEnd"/>
      <w:r w:rsidRPr="00791FC4">
        <w:rPr>
          <w:rFonts w:ascii="Times New Roman" w:hAnsi="Times New Roman" w:cs="Times New Roman"/>
        </w:rPr>
        <w:t xml:space="preserve">, Tao </w:t>
      </w:r>
      <w:proofErr w:type="spellStart"/>
      <w:r w:rsidRPr="00791FC4">
        <w:rPr>
          <w:rFonts w:ascii="Times New Roman" w:hAnsi="Times New Roman" w:cs="Times New Roman"/>
        </w:rPr>
        <w:t>Yiping</w:t>
      </w:r>
      <w:proofErr w:type="spellEnd"/>
      <w:r w:rsidRPr="00791FC4">
        <w:rPr>
          <w:rFonts w:ascii="Times New Roman" w:hAnsi="Times New Roman" w:cs="Times New Roman"/>
        </w:rPr>
        <w:t xml:space="preserve">, president of </w:t>
      </w:r>
      <w:proofErr w:type="spellStart"/>
      <w:r w:rsidRPr="00791FC4">
        <w:rPr>
          <w:rFonts w:ascii="Times New Roman" w:hAnsi="Times New Roman" w:cs="Times New Roman"/>
        </w:rPr>
        <w:t>IB</w:t>
      </w:r>
      <w:proofErr w:type="spellEnd"/>
      <w:r w:rsidRPr="00791FC4">
        <w:rPr>
          <w:rFonts w:ascii="Times New Roman" w:hAnsi="Times New Roman" w:cs="Times New Roman"/>
        </w:rPr>
        <w:t xml:space="preserve"> and Li </w:t>
      </w:r>
      <w:proofErr w:type="spellStart"/>
      <w:r w:rsidRPr="00791FC4">
        <w:rPr>
          <w:rFonts w:ascii="Times New Roman" w:hAnsi="Times New Roman" w:cs="Times New Roman"/>
        </w:rPr>
        <w:t>Jian</w:t>
      </w:r>
      <w:proofErr w:type="spellEnd"/>
      <w:r w:rsidRPr="00791FC4">
        <w:rPr>
          <w:rFonts w:ascii="Times New Roman" w:hAnsi="Times New Roman" w:cs="Times New Roman"/>
        </w:rPr>
        <w:t>, head of financial department.</w:t>
      </w:r>
    </w:p>
    <w:p w:rsidR="00EA1D3D" w:rsidRPr="00791FC4" w:rsidRDefault="00EA1D3D" w:rsidP="004E5192">
      <w:pPr>
        <w:pStyle w:val="a5"/>
        <w:adjustRightInd w:val="0"/>
        <w:snapToGrid w:val="0"/>
        <w:spacing w:before="0" w:beforeAutospacing="0" w:after="0" w:afterAutospacing="0" w:line="440" w:lineRule="exact"/>
        <w:ind w:firstLineChars="200" w:firstLine="480"/>
        <w:rPr>
          <w:rFonts w:ascii="Times New Roman" w:hAnsi="Times New Roman" w:cs="Times New Roman"/>
        </w:rPr>
      </w:pPr>
    </w:p>
    <w:p w:rsidR="00933139" w:rsidRPr="00791FC4" w:rsidRDefault="00933139" w:rsidP="004E5192">
      <w:pPr>
        <w:pStyle w:val="a5"/>
        <w:adjustRightInd w:val="0"/>
        <w:snapToGrid w:val="0"/>
        <w:spacing w:before="0" w:beforeAutospacing="0" w:after="0" w:afterAutospacing="0" w:line="440" w:lineRule="exact"/>
        <w:ind w:firstLineChars="200" w:firstLine="480"/>
        <w:rPr>
          <w:rFonts w:ascii="Times New Roman" w:hAnsi="Times New Roman" w:cs="Times New Roman"/>
        </w:rPr>
      </w:pPr>
      <w:proofErr w:type="gramStart"/>
      <w:r w:rsidRPr="00791FC4">
        <w:rPr>
          <w:rFonts w:ascii="Times New Roman" w:hAnsi="Times New Roman" w:cs="Times New Roman"/>
        </w:rPr>
        <w:t>Hereby Announced.</w:t>
      </w:r>
      <w:proofErr w:type="gramEnd"/>
    </w:p>
    <w:p w:rsidR="00173A63" w:rsidRPr="00791FC4" w:rsidRDefault="00173A63" w:rsidP="004E5192">
      <w:pPr>
        <w:pStyle w:val="a5"/>
        <w:adjustRightInd w:val="0"/>
        <w:snapToGrid w:val="0"/>
        <w:spacing w:before="0" w:beforeAutospacing="0" w:after="0" w:afterAutospacing="0" w:line="360" w:lineRule="auto"/>
        <w:ind w:firstLineChars="200" w:firstLine="480"/>
        <w:rPr>
          <w:rFonts w:ascii="Times New Roman" w:hAnsi="Times New Roman" w:cs="Times New Roman"/>
        </w:rPr>
      </w:pPr>
    </w:p>
    <w:p w:rsidR="00933139" w:rsidRPr="00791FC4" w:rsidRDefault="009E4C59" w:rsidP="004E5192">
      <w:pPr>
        <w:pStyle w:val="a5"/>
        <w:adjustRightInd w:val="0"/>
        <w:snapToGrid w:val="0"/>
        <w:spacing w:before="0" w:beforeAutospacing="0" w:after="0" w:afterAutospacing="0" w:line="480" w:lineRule="auto"/>
        <w:ind w:firstLineChars="200" w:firstLine="480"/>
        <w:jc w:val="right"/>
        <w:rPr>
          <w:rFonts w:ascii="Times New Roman" w:hAnsi="Times New Roman" w:cs="Times New Roman"/>
        </w:rPr>
      </w:pPr>
      <w:proofErr w:type="gramStart"/>
      <w:r w:rsidRPr="00791FC4">
        <w:rPr>
          <w:rFonts w:ascii="Times New Roman" w:hAnsi="Times New Roman" w:cs="Times New Roman"/>
        </w:rPr>
        <w:t>Board of Directors of Industrial Bank Co., Ltd.</w:t>
      </w:r>
      <w:proofErr w:type="gramEnd"/>
    </w:p>
    <w:p w:rsidR="00E13345" w:rsidRPr="00791FC4" w:rsidRDefault="00C95934" w:rsidP="00584F62">
      <w:pPr>
        <w:pStyle w:val="a5"/>
        <w:wordWrap w:val="0"/>
        <w:adjustRightInd w:val="0"/>
        <w:snapToGrid w:val="0"/>
        <w:spacing w:before="0" w:beforeAutospacing="0" w:after="0" w:afterAutospacing="0" w:line="360" w:lineRule="auto"/>
        <w:ind w:firstLineChars="200" w:firstLine="480"/>
        <w:jc w:val="right"/>
        <w:rPr>
          <w:rFonts w:ascii="Times New Roman" w:hAnsi="Times New Roman" w:cs="Times New Roman"/>
        </w:rPr>
      </w:pPr>
      <w:r w:rsidRPr="00791FC4">
        <w:rPr>
          <w:rFonts w:ascii="Times New Roman" w:hAnsi="Times New Roman" w:cs="Times New Roman"/>
        </w:rPr>
        <w:t xml:space="preserve">January 16, 2018     </w:t>
      </w:r>
      <w:bookmarkEnd w:id="0"/>
    </w:p>
    <w:sectPr w:rsidR="00E13345" w:rsidRPr="00791FC4" w:rsidSect="00584F62">
      <w:headerReference w:type="even" r:id="rId7"/>
      <w:headerReference w:type="default" r:id="rId8"/>
      <w:footerReference w:type="even" r:id="rId9"/>
      <w:footerReference w:type="default" r:id="rId10"/>
      <w:headerReference w:type="first" r:id="rId11"/>
      <w:footerReference w:type="first" r:id="rId12"/>
      <w:pgSz w:w="11906" w:h="16838"/>
      <w:pgMar w:top="1247" w:right="1797" w:bottom="85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92" w:rsidRDefault="00964C92">
      <w:r>
        <w:separator/>
      </w:r>
    </w:p>
  </w:endnote>
  <w:endnote w:type="continuationSeparator" w:id="0">
    <w:p w:rsidR="00964C92" w:rsidRDefault="00964C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F2" w:rsidRDefault="00664610" w:rsidP="00A97BF0">
    <w:pPr>
      <w:pStyle w:val="a3"/>
      <w:framePr w:wrap="around" w:vAnchor="text" w:hAnchor="margin" w:xAlign="center" w:y="1"/>
      <w:rPr>
        <w:rStyle w:val="a6"/>
      </w:rPr>
    </w:pPr>
    <w:r>
      <w:rPr>
        <w:rStyle w:val="a6"/>
      </w:rPr>
      <w:fldChar w:fldCharType="begin"/>
    </w:r>
    <w:r w:rsidR="007E1FF2">
      <w:rPr>
        <w:rStyle w:val="a6"/>
      </w:rPr>
      <w:instrText xml:space="preserve">PAGE  </w:instrText>
    </w:r>
    <w:r>
      <w:rPr>
        <w:rStyle w:val="a6"/>
      </w:rPr>
      <w:fldChar w:fldCharType="end"/>
    </w:r>
  </w:p>
  <w:p w:rsidR="007E1FF2" w:rsidRDefault="007E1FF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F62" w:rsidRDefault="00664610">
    <w:pPr>
      <w:pStyle w:val="a3"/>
      <w:jc w:val="center"/>
    </w:pPr>
    <w:r>
      <w:fldChar w:fldCharType="begin"/>
    </w:r>
    <w:r w:rsidR="00584F62">
      <w:instrText xml:space="preserve"> PAGE   \* MERGEFORMAT </w:instrText>
    </w:r>
    <w:r>
      <w:fldChar w:fldCharType="separate"/>
    </w:r>
    <w:r w:rsidR="00CE22BF">
      <w:rPr>
        <w:noProof/>
      </w:rPr>
      <w:t>2</w:t>
    </w:r>
    <w:r>
      <w:fldChar w:fldCharType="end"/>
    </w:r>
  </w:p>
  <w:p w:rsidR="00584F62" w:rsidRDefault="00584F6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BF" w:rsidRDefault="00CE22B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92" w:rsidRDefault="00964C92">
      <w:r>
        <w:separator/>
      </w:r>
    </w:p>
  </w:footnote>
  <w:footnote w:type="continuationSeparator" w:id="0">
    <w:p w:rsidR="00964C92" w:rsidRDefault="00964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BF" w:rsidRDefault="00CE22B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BF" w:rsidRDefault="00CE22BF" w:rsidP="00CE22BF">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BF" w:rsidRDefault="00CE22B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17825"/>
    <w:multiLevelType w:val="hybridMultilevel"/>
    <w:tmpl w:val="D850274A"/>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1">
    <w:nsid w:val="47816D32"/>
    <w:multiLevelType w:val="hybridMultilevel"/>
    <w:tmpl w:val="50FE8AA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1593"/>
    <w:rsid w:val="00020EFA"/>
    <w:rsid w:val="00021802"/>
    <w:rsid w:val="00027D98"/>
    <w:rsid w:val="00040ACD"/>
    <w:rsid w:val="00060F3F"/>
    <w:rsid w:val="00067D10"/>
    <w:rsid w:val="000A2A24"/>
    <w:rsid w:val="000A2B10"/>
    <w:rsid w:val="000A487B"/>
    <w:rsid w:val="000A4DE1"/>
    <w:rsid w:val="000C53AD"/>
    <w:rsid w:val="001125DD"/>
    <w:rsid w:val="001136CA"/>
    <w:rsid w:val="00114180"/>
    <w:rsid w:val="00114C2D"/>
    <w:rsid w:val="00120D2D"/>
    <w:rsid w:val="00121CBA"/>
    <w:rsid w:val="00135615"/>
    <w:rsid w:val="00136645"/>
    <w:rsid w:val="00172A27"/>
    <w:rsid w:val="00173A63"/>
    <w:rsid w:val="00181E13"/>
    <w:rsid w:val="00183A85"/>
    <w:rsid w:val="00183ED4"/>
    <w:rsid w:val="001A2259"/>
    <w:rsid w:val="001C143E"/>
    <w:rsid w:val="001F0767"/>
    <w:rsid w:val="001F1D0F"/>
    <w:rsid w:val="001F50D2"/>
    <w:rsid w:val="001F5BEF"/>
    <w:rsid w:val="00203E87"/>
    <w:rsid w:val="00224351"/>
    <w:rsid w:val="002329B3"/>
    <w:rsid w:val="0024383E"/>
    <w:rsid w:val="00253ADC"/>
    <w:rsid w:val="00274D49"/>
    <w:rsid w:val="00290BA3"/>
    <w:rsid w:val="002B17C5"/>
    <w:rsid w:val="002B236D"/>
    <w:rsid w:val="002D2573"/>
    <w:rsid w:val="002D4397"/>
    <w:rsid w:val="003051EF"/>
    <w:rsid w:val="00335B10"/>
    <w:rsid w:val="003463F3"/>
    <w:rsid w:val="00354BFB"/>
    <w:rsid w:val="00360D2A"/>
    <w:rsid w:val="003747B5"/>
    <w:rsid w:val="00381B14"/>
    <w:rsid w:val="003C5BC9"/>
    <w:rsid w:val="003E369F"/>
    <w:rsid w:val="003F62DC"/>
    <w:rsid w:val="004067DD"/>
    <w:rsid w:val="00435601"/>
    <w:rsid w:val="004441C7"/>
    <w:rsid w:val="0045324D"/>
    <w:rsid w:val="0046590A"/>
    <w:rsid w:val="004734BA"/>
    <w:rsid w:val="004747CB"/>
    <w:rsid w:val="004754DD"/>
    <w:rsid w:val="004761AA"/>
    <w:rsid w:val="0048325F"/>
    <w:rsid w:val="00485CF1"/>
    <w:rsid w:val="004B6745"/>
    <w:rsid w:val="004B7EC1"/>
    <w:rsid w:val="004E37C0"/>
    <w:rsid w:val="004E5192"/>
    <w:rsid w:val="005160BC"/>
    <w:rsid w:val="0052091C"/>
    <w:rsid w:val="00534FC8"/>
    <w:rsid w:val="00541B82"/>
    <w:rsid w:val="0055192C"/>
    <w:rsid w:val="005523FF"/>
    <w:rsid w:val="00562D64"/>
    <w:rsid w:val="00564EF5"/>
    <w:rsid w:val="0057043B"/>
    <w:rsid w:val="00584F62"/>
    <w:rsid w:val="00590DFB"/>
    <w:rsid w:val="005A05ED"/>
    <w:rsid w:val="005D79D8"/>
    <w:rsid w:val="005F5E78"/>
    <w:rsid w:val="0060426D"/>
    <w:rsid w:val="0060568B"/>
    <w:rsid w:val="00615F18"/>
    <w:rsid w:val="0062077E"/>
    <w:rsid w:val="0065601B"/>
    <w:rsid w:val="00661BA9"/>
    <w:rsid w:val="00664610"/>
    <w:rsid w:val="00666416"/>
    <w:rsid w:val="006679F7"/>
    <w:rsid w:val="00686072"/>
    <w:rsid w:val="006A6734"/>
    <w:rsid w:val="006B049E"/>
    <w:rsid w:val="006B4E3D"/>
    <w:rsid w:val="006E6C88"/>
    <w:rsid w:val="006F22DD"/>
    <w:rsid w:val="00706C74"/>
    <w:rsid w:val="007100FD"/>
    <w:rsid w:val="00721966"/>
    <w:rsid w:val="007513CD"/>
    <w:rsid w:val="007727CA"/>
    <w:rsid w:val="0078313E"/>
    <w:rsid w:val="00791FC4"/>
    <w:rsid w:val="00796FE0"/>
    <w:rsid w:val="007A1061"/>
    <w:rsid w:val="007B1BD4"/>
    <w:rsid w:val="007D003C"/>
    <w:rsid w:val="007E1FF2"/>
    <w:rsid w:val="007F29C5"/>
    <w:rsid w:val="008017B6"/>
    <w:rsid w:val="00806178"/>
    <w:rsid w:val="008065AF"/>
    <w:rsid w:val="00820732"/>
    <w:rsid w:val="00830233"/>
    <w:rsid w:val="008515C7"/>
    <w:rsid w:val="00867AD1"/>
    <w:rsid w:val="008F367D"/>
    <w:rsid w:val="00913A61"/>
    <w:rsid w:val="00913E6C"/>
    <w:rsid w:val="009152EA"/>
    <w:rsid w:val="00924788"/>
    <w:rsid w:val="009261BC"/>
    <w:rsid w:val="00933139"/>
    <w:rsid w:val="0094116C"/>
    <w:rsid w:val="009561F1"/>
    <w:rsid w:val="0096083F"/>
    <w:rsid w:val="00964C92"/>
    <w:rsid w:val="00973288"/>
    <w:rsid w:val="00981259"/>
    <w:rsid w:val="00995389"/>
    <w:rsid w:val="009C327E"/>
    <w:rsid w:val="009E4C59"/>
    <w:rsid w:val="009F5A34"/>
    <w:rsid w:val="00A10DCD"/>
    <w:rsid w:val="00A14E39"/>
    <w:rsid w:val="00A16F91"/>
    <w:rsid w:val="00A334E2"/>
    <w:rsid w:val="00A52DD6"/>
    <w:rsid w:val="00A573DE"/>
    <w:rsid w:val="00A9489B"/>
    <w:rsid w:val="00A958B5"/>
    <w:rsid w:val="00A97BF0"/>
    <w:rsid w:val="00B018C4"/>
    <w:rsid w:val="00B46105"/>
    <w:rsid w:val="00B9444A"/>
    <w:rsid w:val="00BB5AF8"/>
    <w:rsid w:val="00BD6646"/>
    <w:rsid w:val="00BE774E"/>
    <w:rsid w:val="00C064FB"/>
    <w:rsid w:val="00C314B1"/>
    <w:rsid w:val="00C35EDD"/>
    <w:rsid w:val="00C36C5D"/>
    <w:rsid w:val="00C8663A"/>
    <w:rsid w:val="00C95934"/>
    <w:rsid w:val="00CC3C14"/>
    <w:rsid w:val="00CE22BF"/>
    <w:rsid w:val="00CE6115"/>
    <w:rsid w:val="00D1258D"/>
    <w:rsid w:val="00D33BA0"/>
    <w:rsid w:val="00D60E89"/>
    <w:rsid w:val="00D66498"/>
    <w:rsid w:val="00D66979"/>
    <w:rsid w:val="00D66D7A"/>
    <w:rsid w:val="00D8240F"/>
    <w:rsid w:val="00DC49D2"/>
    <w:rsid w:val="00E02111"/>
    <w:rsid w:val="00E13345"/>
    <w:rsid w:val="00E2368E"/>
    <w:rsid w:val="00E45567"/>
    <w:rsid w:val="00E51631"/>
    <w:rsid w:val="00E61907"/>
    <w:rsid w:val="00E93C87"/>
    <w:rsid w:val="00E97C90"/>
    <w:rsid w:val="00EA1D3D"/>
    <w:rsid w:val="00EB65FB"/>
    <w:rsid w:val="00F3053A"/>
    <w:rsid w:val="00F52781"/>
    <w:rsid w:val="00F56989"/>
    <w:rsid w:val="00F61FBA"/>
    <w:rsid w:val="00F71A89"/>
    <w:rsid w:val="00F816FE"/>
    <w:rsid w:val="00F96446"/>
    <w:rsid w:val="00F96725"/>
    <w:rsid w:val="00FB4A4B"/>
    <w:rsid w:val="00FC7B50"/>
    <w:rsid w:val="00FF5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610"/>
    <w:pPr>
      <w:widowControl w:val="0"/>
      <w:jc w:val="both"/>
    </w:pPr>
    <w:rPr>
      <w:kern w:val="2"/>
      <w:sz w:val="21"/>
    </w:rPr>
  </w:style>
  <w:style w:type="paragraph" w:styleId="1">
    <w:name w:val="heading 1"/>
    <w:basedOn w:val="a"/>
    <w:next w:val="a"/>
    <w:link w:val="1Char"/>
    <w:qFormat/>
    <w:rsid w:val="00933139"/>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027D9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64610"/>
    <w:pPr>
      <w:tabs>
        <w:tab w:val="center" w:pos="4153"/>
        <w:tab w:val="right" w:pos="8306"/>
      </w:tabs>
      <w:snapToGrid w:val="0"/>
      <w:jc w:val="left"/>
    </w:pPr>
    <w:rPr>
      <w:sz w:val="18"/>
      <w:lang/>
    </w:rPr>
  </w:style>
  <w:style w:type="paragraph" w:styleId="a4">
    <w:name w:val="header"/>
    <w:basedOn w:val="a"/>
    <w:rsid w:val="0066461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Char">
    <w:name w:val="标题 1 Char"/>
    <w:link w:val="1"/>
    <w:rsid w:val="00933139"/>
    <w:rPr>
      <w:rFonts w:eastAsia="宋体"/>
      <w:b/>
      <w:bCs/>
      <w:kern w:val="44"/>
      <w:sz w:val="44"/>
      <w:szCs w:val="44"/>
      <w:lang w:val="en-US" w:eastAsia="zh-CN" w:bidi="ar-SA"/>
    </w:rPr>
  </w:style>
  <w:style w:type="paragraph" w:styleId="a5">
    <w:name w:val="Normal (Web)"/>
    <w:basedOn w:val="a"/>
    <w:uiPriority w:val="99"/>
    <w:rsid w:val="00933139"/>
    <w:pPr>
      <w:widowControl/>
      <w:spacing w:before="100" w:beforeAutospacing="1" w:after="100" w:afterAutospacing="1"/>
      <w:jc w:val="left"/>
    </w:pPr>
    <w:rPr>
      <w:rFonts w:ascii="宋体" w:hAnsi="宋体" w:cs="宋体"/>
      <w:kern w:val="0"/>
      <w:sz w:val="24"/>
      <w:szCs w:val="24"/>
    </w:rPr>
  </w:style>
  <w:style w:type="character" w:styleId="a6">
    <w:name w:val="page number"/>
    <w:basedOn w:val="a0"/>
    <w:rsid w:val="007E1FF2"/>
  </w:style>
  <w:style w:type="character" w:customStyle="1" w:styleId="Char">
    <w:name w:val="页脚 Char"/>
    <w:link w:val="a3"/>
    <w:uiPriority w:val="99"/>
    <w:rsid w:val="00040ACD"/>
    <w:rPr>
      <w:kern w:val="2"/>
      <w:sz w:val="18"/>
    </w:rPr>
  </w:style>
  <w:style w:type="paragraph" w:styleId="a7">
    <w:name w:val="Balloon Text"/>
    <w:basedOn w:val="a"/>
    <w:link w:val="Char0"/>
    <w:rsid w:val="00040ACD"/>
    <w:rPr>
      <w:sz w:val="18"/>
      <w:szCs w:val="18"/>
      <w:lang/>
    </w:rPr>
  </w:style>
  <w:style w:type="character" w:customStyle="1" w:styleId="Char0">
    <w:name w:val="批注框文本 Char"/>
    <w:link w:val="a7"/>
    <w:rsid w:val="00040ACD"/>
    <w:rPr>
      <w:kern w:val="2"/>
      <w:sz w:val="18"/>
      <w:szCs w:val="18"/>
    </w:rPr>
  </w:style>
  <w:style w:type="character" w:customStyle="1" w:styleId="3Char">
    <w:name w:val="标题 3 Char"/>
    <w:link w:val="3"/>
    <w:rsid w:val="00027D98"/>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109395896">
      <w:bodyDiv w:val="1"/>
      <w:marLeft w:val="0"/>
      <w:marRight w:val="0"/>
      <w:marTop w:val="0"/>
      <w:marBottom w:val="0"/>
      <w:divBdr>
        <w:top w:val="none" w:sz="0" w:space="0" w:color="auto"/>
        <w:left w:val="none" w:sz="0" w:space="0" w:color="auto"/>
        <w:bottom w:val="none" w:sz="0" w:space="0" w:color="auto"/>
        <w:right w:val="none" w:sz="0" w:space="0" w:color="auto"/>
      </w:divBdr>
    </w:div>
    <w:div w:id="564410713">
      <w:bodyDiv w:val="1"/>
      <w:marLeft w:val="0"/>
      <w:marRight w:val="0"/>
      <w:marTop w:val="0"/>
      <w:marBottom w:val="0"/>
      <w:divBdr>
        <w:top w:val="none" w:sz="0" w:space="0" w:color="auto"/>
        <w:left w:val="none" w:sz="0" w:space="0" w:color="auto"/>
        <w:bottom w:val="none" w:sz="0" w:space="0" w:color="auto"/>
        <w:right w:val="none" w:sz="0" w:space="0" w:color="auto"/>
      </w:divBdr>
    </w:div>
    <w:div w:id="667636734">
      <w:bodyDiv w:val="1"/>
      <w:marLeft w:val="0"/>
      <w:marRight w:val="0"/>
      <w:marTop w:val="0"/>
      <w:marBottom w:val="0"/>
      <w:divBdr>
        <w:top w:val="none" w:sz="0" w:space="0" w:color="auto"/>
        <w:left w:val="none" w:sz="0" w:space="0" w:color="auto"/>
        <w:bottom w:val="none" w:sz="0" w:space="0" w:color="auto"/>
        <w:right w:val="none" w:sz="0" w:space="0" w:color="auto"/>
      </w:divBdr>
      <w:divsChild>
        <w:div w:id="364015455">
          <w:marLeft w:val="0"/>
          <w:marRight w:val="0"/>
          <w:marTop w:val="0"/>
          <w:marBottom w:val="0"/>
          <w:divBdr>
            <w:top w:val="none" w:sz="0" w:space="0" w:color="auto"/>
            <w:left w:val="none" w:sz="0" w:space="0" w:color="auto"/>
            <w:bottom w:val="none" w:sz="0" w:space="0" w:color="auto"/>
            <w:right w:val="none" w:sz="0" w:space="0" w:color="auto"/>
          </w:divBdr>
          <w:divsChild>
            <w:div w:id="1631015906">
              <w:marLeft w:val="0"/>
              <w:marRight w:val="0"/>
              <w:marTop w:val="0"/>
              <w:marBottom w:val="0"/>
              <w:divBdr>
                <w:top w:val="none" w:sz="0" w:space="0" w:color="auto"/>
                <w:left w:val="none" w:sz="0" w:space="0" w:color="auto"/>
                <w:bottom w:val="single" w:sz="6" w:space="8" w:color="DADADA"/>
                <w:right w:val="none" w:sz="0" w:space="0" w:color="auto"/>
              </w:divBdr>
              <w:divsChild>
                <w:div w:id="13343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5416">
      <w:bodyDiv w:val="1"/>
      <w:marLeft w:val="0"/>
      <w:marRight w:val="0"/>
      <w:marTop w:val="0"/>
      <w:marBottom w:val="0"/>
      <w:divBdr>
        <w:top w:val="none" w:sz="0" w:space="0" w:color="auto"/>
        <w:left w:val="none" w:sz="0" w:space="0" w:color="auto"/>
        <w:bottom w:val="none" w:sz="0" w:space="0" w:color="auto"/>
        <w:right w:val="none" w:sz="0" w:space="0" w:color="auto"/>
      </w:divBdr>
      <w:divsChild>
        <w:div w:id="1723214408">
          <w:marLeft w:val="0"/>
          <w:marRight w:val="0"/>
          <w:marTop w:val="0"/>
          <w:marBottom w:val="0"/>
          <w:divBdr>
            <w:top w:val="none" w:sz="0" w:space="0" w:color="auto"/>
            <w:left w:val="none" w:sz="0" w:space="0" w:color="auto"/>
            <w:bottom w:val="none" w:sz="0" w:space="0" w:color="auto"/>
            <w:right w:val="none" w:sz="0" w:space="0" w:color="auto"/>
          </w:divBdr>
          <w:divsChild>
            <w:div w:id="1073627066">
              <w:marLeft w:val="0"/>
              <w:marRight w:val="0"/>
              <w:marTop w:val="0"/>
              <w:marBottom w:val="0"/>
              <w:divBdr>
                <w:top w:val="none" w:sz="0" w:space="0" w:color="auto"/>
                <w:left w:val="none" w:sz="0" w:space="0" w:color="auto"/>
                <w:bottom w:val="single" w:sz="6" w:space="8" w:color="DADADA"/>
                <w:right w:val="none" w:sz="0" w:space="0" w:color="auto"/>
              </w:divBdr>
              <w:divsChild>
                <w:div w:id="1385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65388">
      <w:bodyDiv w:val="1"/>
      <w:marLeft w:val="0"/>
      <w:marRight w:val="0"/>
      <w:marTop w:val="0"/>
      <w:marBottom w:val="0"/>
      <w:divBdr>
        <w:top w:val="none" w:sz="0" w:space="0" w:color="auto"/>
        <w:left w:val="none" w:sz="0" w:space="0" w:color="auto"/>
        <w:bottom w:val="none" w:sz="0" w:space="0" w:color="auto"/>
        <w:right w:val="none" w:sz="0" w:space="0" w:color="auto"/>
      </w:divBdr>
      <w:divsChild>
        <w:div w:id="1507287902">
          <w:marLeft w:val="0"/>
          <w:marRight w:val="0"/>
          <w:marTop w:val="0"/>
          <w:marBottom w:val="0"/>
          <w:divBdr>
            <w:top w:val="none" w:sz="0" w:space="0" w:color="auto"/>
            <w:left w:val="none" w:sz="0" w:space="0" w:color="auto"/>
            <w:bottom w:val="none" w:sz="0" w:space="0" w:color="auto"/>
            <w:right w:val="none" w:sz="0" w:space="0" w:color="auto"/>
          </w:divBdr>
          <w:divsChild>
            <w:div w:id="781725264">
              <w:marLeft w:val="0"/>
              <w:marRight w:val="0"/>
              <w:marTop w:val="0"/>
              <w:marBottom w:val="0"/>
              <w:divBdr>
                <w:top w:val="none" w:sz="0" w:space="0" w:color="auto"/>
                <w:left w:val="none" w:sz="0" w:space="0" w:color="auto"/>
                <w:bottom w:val="none" w:sz="0" w:space="0" w:color="auto"/>
                <w:right w:val="none" w:sz="0" w:space="0" w:color="auto"/>
              </w:divBdr>
              <w:divsChild>
                <w:div w:id="201096739">
                  <w:marLeft w:val="0"/>
                  <w:marRight w:val="0"/>
                  <w:marTop w:val="0"/>
                  <w:marBottom w:val="0"/>
                  <w:divBdr>
                    <w:top w:val="none" w:sz="0" w:space="0" w:color="auto"/>
                    <w:left w:val="none" w:sz="0" w:space="0" w:color="auto"/>
                    <w:bottom w:val="none" w:sz="0" w:space="0" w:color="auto"/>
                    <w:right w:val="none" w:sz="0" w:space="0" w:color="auto"/>
                  </w:divBdr>
                  <w:divsChild>
                    <w:div w:id="550306166">
                      <w:marLeft w:val="0"/>
                      <w:marRight w:val="0"/>
                      <w:marTop w:val="0"/>
                      <w:marBottom w:val="0"/>
                      <w:divBdr>
                        <w:top w:val="none" w:sz="0" w:space="0" w:color="auto"/>
                        <w:left w:val="none" w:sz="0" w:space="0" w:color="auto"/>
                        <w:bottom w:val="none" w:sz="0" w:space="0" w:color="auto"/>
                        <w:right w:val="none" w:sz="0" w:space="0" w:color="auto"/>
                      </w:divBdr>
                      <w:divsChild>
                        <w:div w:id="23219997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034768436">
                              <w:marLeft w:val="0"/>
                              <w:marRight w:val="0"/>
                              <w:marTop w:val="0"/>
                              <w:marBottom w:val="0"/>
                              <w:divBdr>
                                <w:top w:val="none" w:sz="0" w:space="0" w:color="auto"/>
                                <w:left w:val="none" w:sz="0" w:space="0" w:color="auto"/>
                                <w:bottom w:val="none" w:sz="0" w:space="0" w:color="auto"/>
                                <w:right w:val="none" w:sz="0" w:space="0" w:color="auto"/>
                              </w:divBdr>
                              <w:divsChild>
                                <w:div w:id="1776094724">
                                  <w:marLeft w:val="0"/>
                                  <w:marRight w:val="0"/>
                                  <w:marTop w:val="0"/>
                                  <w:marBottom w:val="0"/>
                                  <w:divBdr>
                                    <w:top w:val="none" w:sz="0" w:space="0" w:color="auto"/>
                                    <w:left w:val="none" w:sz="0" w:space="0" w:color="auto"/>
                                    <w:bottom w:val="none" w:sz="0" w:space="0" w:color="auto"/>
                                    <w:right w:val="none" w:sz="0" w:space="0" w:color="auto"/>
                                  </w:divBdr>
                                  <w:divsChild>
                                    <w:div w:id="1481573462">
                                      <w:marLeft w:val="0"/>
                                      <w:marRight w:val="0"/>
                                      <w:marTop w:val="0"/>
                                      <w:marBottom w:val="0"/>
                                      <w:divBdr>
                                        <w:top w:val="none" w:sz="0" w:space="0" w:color="auto"/>
                                        <w:left w:val="none" w:sz="0" w:space="0" w:color="auto"/>
                                        <w:bottom w:val="none" w:sz="0" w:space="0" w:color="auto"/>
                                        <w:right w:val="none" w:sz="0" w:space="0" w:color="auto"/>
                                      </w:divBdr>
                                      <w:divsChild>
                                        <w:div w:id="1925070534">
                                          <w:marLeft w:val="0"/>
                                          <w:marRight w:val="0"/>
                                          <w:marTop w:val="0"/>
                                          <w:marBottom w:val="0"/>
                                          <w:divBdr>
                                            <w:top w:val="none" w:sz="0" w:space="0" w:color="auto"/>
                                            <w:left w:val="none" w:sz="0" w:space="0" w:color="auto"/>
                                            <w:bottom w:val="none" w:sz="0" w:space="0" w:color="auto"/>
                                            <w:right w:val="none" w:sz="0" w:space="0" w:color="auto"/>
                                          </w:divBdr>
                                          <w:divsChild>
                                            <w:div w:id="8085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4707">
      <w:bodyDiv w:val="1"/>
      <w:marLeft w:val="0"/>
      <w:marRight w:val="0"/>
      <w:marTop w:val="0"/>
      <w:marBottom w:val="0"/>
      <w:divBdr>
        <w:top w:val="none" w:sz="0" w:space="0" w:color="auto"/>
        <w:left w:val="none" w:sz="0" w:space="0" w:color="auto"/>
        <w:bottom w:val="none" w:sz="0" w:space="0" w:color="auto"/>
        <w:right w:val="none" w:sz="0" w:space="0" w:color="auto"/>
      </w:divBdr>
    </w:div>
    <w:div w:id="1372338462">
      <w:bodyDiv w:val="1"/>
      <w:marLeft w:val="0"/>
      <w:marRight w:val="0"/>
      <w:marTop w:val="0"/>
      <w:marBottom w:val="0"/>
      <w:divBdr>
        <w:top w:val="none" w:sz="0" w:space="0" w:color="auto"/>
        <w:left w:val="none" w:sz="0" w:space="0" w:color="auto"/>
        <w:bottom w:val="none" w:sz="0" w:space="0" w:color="auto"/>
        <w:right w:val="none" w:sz="0" w:space="0" w:color="auto"/>
      </w:divBdr>
      <w:divsChild>
        <w:div w:id="1488546051">
          <w:marLeft w:val="0"/>
          <w:marRight w:val="0"/>
          <w:marTop w:val="0"/>
          <w:marBottom w:val="0"/>
          <w:divBdr>
            <w:top w:val="none" w:sz="0" w:space="0" w:color="auto"/>
            <w:left w:val="none" w:sz="0" w:space="0" w:color="auto"/>
            <w:bottom w:val="none" w:sz="0" w:space="0" w:color="auto"/>
            <w:right w:val="none" w:sz="0" w:space="0" w:color="auto"/>
          </w:divBdr>
          <w:divsChild>
            <w:div w:id="198979593">
              <w:marLeft w:val="0"/>
              <w:marRight w:val="0"/>
              <w:marTop w:val="0"/>
              <w:marBottom w:val="0"/>
              <w:divBdr>
                <w:top w:val="none" w:sz="0" w:space="0" w:color="auto"/>
                <w:left w:val="none" w:sz="0" w:space="0" w:color="auto"/>
                <w:bottom w:val="none" w:sz="0" w:space="0" w:color="auto"/>
                <w:right w:val="none" w:sz="0" w:space="0" w:color="auto"/>
              </w:divBdr>
              <w:divsChild>
                <w:div w:id="970286447">
                  <w:marLeft w:val="0"/>
                  <w:marRight w:val="0"/>
                  <w:marTop w:val="0"/>
                  <w:marBottom w:val="0"/>
                  <w:divBdr>
                    <w:top w:val="none" w:sz="0" w:space="0" w:color="auto"/>
                    <w:left w:val="none" w:sz="0" w:space="0" w:color="auto"/>
                    <w:bottom w:val="none" w:sz="0" w:space="0" w:color="auto"/>
                    <w:right w:val="none" w:sz="0" w:space="0" w:color="auto"/>
                  </w:divBdr>
                  <w:divsChild>
                    <w:div w:id="780537992">
                      <w:marLeft w:val="0"/>
                      <w:marRight w:val="0"/>
                      <w:marTop w:val="0"/>
                      <w:marBottom w:val="0"/>
                      <w:divBdr>
                        <w:top w:val="none" w:sz="0" w:space="0" w:color="auto"/>
                        <w:left w:val="none" w:sz="0" w:space="0" w:color="auto"/>
                        <w:bottom w:val="none" w:sz="0" w:space="0" w:color="auto"/>
                        <w:right w:val="none" w:sz="0" w:space="0" w:color="auto"/>
                      </w:divBdr>
                      <w:divsChild>
                        <w:div w:id="30632860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520043983">
                              <w:marLeft w:val="0"/>
                              <w:marRight w:val="0"/>
                              <w:marTop w:val="0"/>
                              <w:marBottom w:val="0"/>
                              <w:divBdr>
                                <w:top w:val="none" w:sz="0" w:space="0" w:color="auto"/>
                                <w:left w:val="none" w:sz="0" w:space="0" w:color="auto"/>
                                <w:bottom w:val="none" w:sz="0" w:space="0" w:color="auto"/>
                                <w:right w:val="none" w:sz="0" w:space="0" w:color="auto"/>
                              </w:divBdr>
                              <w:divsChild>
                                <w:div w:id="2086411532">
                                  <w:marLeft w:val="0"/>
                                  <w:marRight w:val="0"/>
                                  <w:marTop w:val="0"/>
                                  <w:marBottom w:val="0"/>
                                  <w:divBdr>
                                    <w:top w:val="none" w:sz="0" w:space="0" w:color="auto"/>
                                    <w:left w:val="none" w:sz="0" w:space="0" w:color="auto"/>
                                    <w:bottom w:val="none" w:sz="0" w:space="0" w:color="auto"/>
                                    <w:right w:val="none" w:sz="0" w:space="0" w:color="auto"/>
                                  </w:divBdr>
                                  <w:divsChild>
                                    <w:div w:id="742095877">
                                      <w:marLeft w:val="0"/>
                                      <w:marRight w:val="0"/>
                                      <w:marTop w:val="0"/>
                                      <w:marBottom w:val="0"/>
                                      <w:divBdr>
                                        <w:top w:val="none" w:sz="0" w:space="0" w:color="auto"/>
                                        <w:left w:val="none" w:sz="0" w:space="0" w:color="auto"/>
                                        <w:bottom w:val="none" w:sz="0" w:space="0" w:color="auto"/>
                                        <w:right w:val="none" w:sz="0" w:space="0" w:color="auto"/>
                                      </w:divBdr>
                                      <w:divsChild>
                                        <w:div w:id="541131440">
                                          <w:marLeft w:val="0"/>
                                          <w:marRight w:val="0"/>
                                          <w:marTop w:val="0"/>
                                          <w:marBottom w:val="0"/>
                                          <w:divBdr>
                                            <w:top w:val="none" w:sz="0" w:space="0" w:color="auto"/>
                                            <w:left w:val="none" w:sz="0" w:space="0" w:color="auto"/>
                                            <w:bottom w:val="none" w:sz="0" w:space="0" w:color="auto"/>
                                            <w:right w:val="none" w:sz="0" w:space="0" w:color="auto"/>
                                          </w:divBdr>
                                          <w:divsChild>
                                            <w:div w:id="2876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73466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670</Words>
  <Characters>3819</Characters>
  <Application>Microsoft Office Word</Application>
  <DocSecurity>0</DocSecurity>
  <Lines>31</Lines>
  <Paragraphs>8</Paragraphs>
  <ScaleCrop>false</ScaleCrop>
  <Company>sse</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第二十二号 上市公司重大事项停牌公告</dc:title>
  <dc:subject/>
  <dc:creator>user</dc:creator>
  <cp:keywords/>
  <cp:lastModifiedBy>Administrator</cp:lastModifiedBy>
  <cp:revision>4</cp:revision>
  <cp:lastPrinted>2018-01-12T08:06:00Z</cp:lastPrinted>
  <dcterms:created xsi:type="dcterms:W3CDTF">2018-03-15T08:44:00Z</dcterms:created>
  <dcterms:modified xsi:type="dcterms:W3CDTF">2018-03-20T06:53:00Z</dcterms:modified>
</cp:coreProperties>
</file>