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0" w:rsidRPr="00FC6873" w:rsidRDefault="00297110" w:rsidP="00297110">
      <w:pPr>
        <w:spacing w:line="500" w:lineRule="exact"/>
        <w:rPr>
          <w:b/>
          <w:szCs w:val="21"/>
        </w:rPr>
      </w:pPr>
      <w:r w:rsidRPr="00FC6873">
        <w:rPr>
          <w:b/>
          <w:bCs/>
          <w:szCs w:val="21"/>
        </w:rPr>
        <w:t>Code of A share: 601166 Abbreviation of A Share: Industrial Bank   Code: TEMP 2019-010</w:t>
      </w:r>
    </w:p>
    <w:p w:rsidR="002024EE" w:rsidRPr="00FC6873" w:rsidRDefault="000A3B8C" w:rsidP="002024EE">
      <w:pPr>
        <w:spacing w:line="500" w:lineRule="exact"/>
        <w:jc w:val="left"/>
        <w:rPr>
          <w:b/>
          <w:sz w:val="24"/>
          <w:szCs w:val="28"/>
        </w:rPr>
      </w:pPr>
      <w:r w:rsidRPr="00FC6873">
        <w:rPr>
          <w:b/>
          <w:bCs/>
          <w:szCs w:val="21"/>
        </w:rPr>
        <w:t>Code of Preferred Stock:</w:t>
      </w:r>
      <w:r w:rsidRPr="00FC6873">
        <w:rPr>
          <w:szCs w:val="21"/>
        </w:rPr>
        <w:t xml:space="preserve"> </w:t>
      </w:r>
      <w:r w:rsidRPr="00FC6873">
        <w:rPr>
          <w:b/>
          <w:bCs/>
          <w:szCs w:val="21"/>
        </w:rPr>
        <w:t>360005, 360012, 360032 Abbreviation of Preferred Stocks:</w:t>
      </w:r>
      <w:r w:rsidRPr="00FC6873">
        <w:rPr>
          <w:szCs w:val="21"/>
        </w:rPr>
        <w:t xml:space="preserve"> </w:t>
      </w:r>
      <w:r w:rsidRPr="00FC6873">
        <w:rPr>
          <w:b/>
          <w:bCs/>
          <w:szCs w:val="21"/>
        </w:rPr>
        <w:t>Industrial Preferred 1, Industrial Preferred 2, Industrial Preferred 3</w:t>
      </w:r>
    </w:p>
    <w:p w:rsidR="00370553" w:rsidRPr="00FC6873" w:rsidRDefault="00370553" w:rsidP="002024EE">
      <w:pPr>
        <w:spacing w:line="500" w:lineRule="exact"/>
        <w:jc w:val="left"/>
        <w:rPr>
          <w:rFonts w:eastAsia="仿宋_GB2312"/>
          <w:b/>
          <w:sz w:val="32"/>
          <w:szCs w:val="32"/>
        </w:rPr>
      </w:pPr>
    </w:p>
    <w:p w:rsidR="00370553" w:rsidRPr="00FC6873" w:rsidRDefault="00370553" w:rsidP="00130A7A">
      <w:pPr>
        <w:jc w:val="center"/>
        <w:rPr>
          <w:rFonts w:eastAsia="黑体"/>
          <w:color w:val="FF0000"/>
          <w:sz w:val="44"/>
          <w:szCs w:val="44"/>
        </w:rPr>
      </w:pPr>
      <w:r w:rsidRPr="00FC6873">
        <w:rPr>
          <w:rFonts w:eastAsia="黑体"/>
          <w:color w:val="FF0000"/>
          <w:sz w:val="44"/>
          <w:szCs w:val="44"/>
        </w:rPr>
        <w:t>Industrial Bank Co., Ltd.’s</w:t>
      </w:r>
    </w:p>
    <w:p w:rsidR="006868C6" w:rsidRPr="00FC6873" w:rsidRDefault="00130A7A" w:rsidP="00130A7A">
      <w:pPr>
        <w:jc w:val="center"/>
        <w:rPr>
          <w:rFonts w:eastAsia="黑体"/>
          <w:color w:val="FF0000"/>
          <w:sz w:val="44"/>
          <w:szCs w:val="44"/>
        </w:rPr>
      </w:pPr>
      <w:r w:rsidRPr="00FC6873">
        <w:rPr>
          <w:rFonts w:eastAsia="黑体"/>
          <w:color w:val="FF0000"/>
          <w:sz w:val="44"/>
          <w:szCs w:val="44"/>
        </w:rPr>
        <w:t xml:space="preserve">Proposal on Announcement of Addition of Related Transaction Quota to </w:t>
      </w:r>
    </w:p>
    <w:p w:rsidR="00130A7A" w:rsidRPr="00FC6873" w:rsidRDefault="006868C6" w:rsidP="00130A7A">
      <w:pPr>
        <w:jc w:val="center"/>
        <w:rPr>
          <w:rFonts w:eastAsia="黑体"/>
          <w:color w:val="FF0000"/>
          <w:sz w:val="44"/>
          <w:szCs w:val="44"/>
        </w:rPr>
      </w:pPr>
      <w:r w:rsidRPr="00FC6873">
        <w:rPr>
          <w:rFonts w:eastAsia="黑体"/>
          <w:color w:val="FF0000"/>
          <w:sz w:val="44"/>
          <w:szCs w:val="44"/>
        </w:rPr>
        <w:t xml:space="preserve">Fujian </w:t>
      </w:r>
      <w:proofErr w:type="spellStart"/>
      <w:r w:rsidRPr="00FC6873">
        <w:rPr>
          <w:rFonts w:eastAsia="黑体"/>
          <w:color w:val="FF0000"/>
          <w:sz w:val="44"/>
          <w:szCs w:val="44"/>
        </w:rPr>
        <w:t>Yango</w:t>
      </w:r>
      <w:proofErr w:type="spellEnd"/>
      <w:r w:rsidRPr="00FC6873">
        <w:rPr>
          <w:rFonts w:eastAsia="黑体"/>
          <w:color w:val="FF0000"/>
          <w:sz w:val="44"/>
          <w:szCs w:val="44"/>
        </w:rPr>
        <w:t xml:space="preserve"> Group Co., Ltd.</w:t>
      </w:r>
    </w:p>
    <w:p w:rsidR="00370553" w:rsidRPr="00FC6873" w:rsidRDefault="00370553" w:rsidP="00CF34CA">
      <w:pPr>
        <w:spacing w:line="420" w:lineRule="exact"/>
        <w:ind w:firstLine="570"/>
        <w:rPr>
          <w:sz w:val="24"/>
        </w:rPr>
      </w:pPr>
    </w:p>
    <w:p w:rsidR="005D7CF9" w:rsidRPr="00FC6873" w:rsidRDefault="003C3273" w:rsidP="007A6E9E">
      <w:pPr>
        <w:spacing w:line="360" w:lineRule="auto"/>
        <w:ind w:firstLine="570"/>
        <w:rPr>
          <w:sz w:val="24"/>
        </w:rPr>
      </w:pPr>
      <w:r w:rsidRPr="00FC6873">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FB2E30" w:rsidRPr="00FC6873" w:rsidRDefault="00FB2E30" w:rsidP="007A6E9E">
      <w:pPr>
        <w:spacing w:line="360" w:lineRule="auto"/>
        <w:ind w:firstLine="570"/>
        <w:rPr>
          <w:b/>
          <w:sz w:val="24"/>
        </w:rPr>
      </w:pPr>
    </w:p>
    <w:p w:rsidR="00130A7A" w:rsidRPr="00FC6873" w:rsidRDefault="00130A7A" w:rsidP="007A6E9E">
      <w:pPr>
        <w:autoSpaceDE w:val="0"/>
        <w:autoSpaceDN w:val="0"/>
        <w:adjustRightInd w:val="0"/>
        <w:spacing w:line="360" w:lineRule="auto"/>
        <w:ind w:firstLineChars="196" w:firstLine="472"/>
        <w:rPr>
          <w:b/>
          <w:color w:val="000000"/>
          <w:kern w:val="0"/>
          <w:sz w:val="24"/>
        </w:rPr>
      </w:pPr>
      <w:r w:rsidRPr="00FC6873">
        <w:rPr>
          <w:b/>
          <w:bCs/>
          <w:color w:val="000000"/>
          <w:kern w:val="0"/>
          <w:sz w:val="24"/>
        </w:rPr>
        <w:t xml:space="preserve">Important notes: </w:t>
      </w:r>
    </w:p>
    <w:p w:rsidR="00130A7A" w:rsidRPr="00FC6873" w:rsidRDefault="00130A7A" w:rsidP="007A6E9E">
      <w:pPr>
        <w:autoSpaceDE w:val="0"/>
        <w:autoSpaceDN w:val="0"/>
        <w:adjustRightInd w:val="0"/>
        <w:spacing w:line="360" w:lineRule="auto"/>
        <w:ind w:firstLineChars="150" w:firstLine="361"/>
        <w:rPr>
          <w:b/>
          <w:sz w:val="24"/>
        </w:rPr>
      </w:pPr>
      <w:r w:rsidRPr="00FC6873">
        <w:rPr>
          <w:b/>
          <w:bCs/>
          <w:sz w:val="24"/>
        </w:rPr>
        <w:t>(I) Transaction Content:</w:t>
      </w:r>
    </w:p>
    <w:p w:rsidR="00130A7A" w:rsidRPr="00FC6873" w:rsidRDefault="006868C6" w:rsidP="007A6E9E">
      <w:pPr>
        <w:pStyle w:val="Default"/>
        <w:spacing w:line="360" w:lineRule="auto"/>
        <w:ind w:firstLineChars="200" w:firstLine="480"/>
        <w:jc w:val="both"/>
        <w:rPr>
          <w:rFonts w:ascii="Times New Roman" w:hAnsi="Times New Roman" w:cs="Times New Roman"/>
          <w:iCs/>
        </w:rPr>
      </w:pPr>
      <w:r w:rsidRPr="00FC6873">
        <w:rPr>
          <w:rFonts w:ascii="Times New Roman" w:hAnsi="Times New Roman" w:cs="Times New Roman"/>
        </w:rPr>
        <w:t xml:space="preserve">On April 29, 2019, the 14th Meeting of the 9th Board of Directors of the Company reviewed and passed the Proposal on Announcement of Addition of Related Transaction Quota to Fujian </w:t>
      </w:r>
      <w:proofErr w:type="spellStart"/>
      <w:r w:rsidRPr="00FC6873">
        <w:rPr>
          <w:rFonts w:ascii="Times New Roman" w:hAnsi="Times New Roman" w:cs="Times New Roman"/>
        </w:rPr>
        <w:t>Yango</w:t>
      </w:r>
      <w:proofErr w:type="spellEnd"/>
      <w:r w:rsidRPr="00FC6873">
        <w:rPr>
          <w:rFonts w:ascii="Times New Roman" w:hAnsi="Times New Roman" w:cs="Times New Roman"/>
        </w:rPr>
        <w:t xml:space="preserve"> Group Co., Ltd., agreed to give Fujian </w:t>
      </w:r>
      <w:proofErr w:type="spellStart"/>
      <w:r w:rsidRPr="00FC6873">
        <w:rPr>
          <w:rFonts w:ascii="Times New Roman" w:hAnsi="Times New Roman" w:cs="Times New Roman"/>
        </w:rPr>
        <w:t>Yango</w:t>
      </w:r>
      <w:proofErr w:type="spellEnd"/>
      <w:r w:rsidRPr="00FC6873">
        <w:rPr>
          <w:rFonts w:ascii="Times New Roman" w:hAnsi="Times New Roman" w:cs="Times New Roman"/>
        </w:rPr>
        <w:t xml:space="preserve"> Group Co., Ltd. and its affiliated companies (hereinafter called as "</w:t>
      </w:r>
      <w:proofErr w:type="spellStart"/>
      <w:r w:rsidRPr="00FC6873">
        <w:rPr>
          <w:rFonts w:ascii="Times New Roman" w:hAnsi="Times New Roman" w:cs="Times New Roman"/>
        </w:rPr>
        <w:t>Yango</w:t>
      </w:r>
      <w:proofErr w:type="spellEnd"/>
      <w:r w:rsidRPr="00FC6873">
        <w:rPr>
          <w:rFonts w:ascii="Times New Roman" w:hAnsi="Times New Roman" w:cs="Times New Roman"/>
        </w:rPr>
        <w:t xml:space="preserve"> Series") additional RMB 4 billion of credit related translation quota, wherein: The main credit quota is 3 billion yuan, and the investment limit under non-guarantee financial management is 1 billion yuan. The validity period is extended to June 30, 2021.</w:t>
      </w:r>
    </w:p>
    <w:p w:rsidR="00A11A40" w:rsidRPr="00FC6873" w:rsidRDefault="00130A7A" w:rsidP="007A6E9E">
      <w:pPr>
        <w:pStyle w:val="Default"/>
        <w:spacing w:line="360" w:lineRule="auto"/>
        <w:ind w:firstLineChars="200" w:firstLine="482"/>
        <w:jc w:val="both"/>
        <w:rPr>
          <w:rFonts w:ascii="Times New Roman" w:hAnsi="Times New Roman" w:cs="Times New Roman"/>
        </w:rPr>
      </w:pPr>
      <w:r w:rsidRPr="00FC6873">
        <w:rPr>
          <w:rFonts w:ascii="Times New Roman" w:hAnsi="Times New Roman" w:cs="Times New Roman"/>
          <w:b/>
          <w:bCs/>
        </w:rPr>
        <w:t>(II) Voting challenge:</w:t>
      </w:r>
      <w:r w:rsidRPr="00FC6873">
        <w:rPr>
          <w:rFonts w:ascii="Times New Roman" w:hAnsi="Times New Roman" w:cs="Times New Roman"/>
        </w:rPr>
        <w:t xml:space="preserve"> This transaction is a related transaction, the related director of the Company --- Mr. Lin </w:t>
      </w:r>
      <w:proofErr w:type="spellStart"/>
      <w:r w:rsidRPr="00FC6873">
        <w:rPr>
          <w:rFonts w:ascii="Times New Roman" w:hAnsi="Times New Roman" w:cs="Times New Roman"/>
        </w:rPr>
        <w:t>Tengjiao</w:t>
      </w:r>
      <w:proofErr w:type="spellEnd"/>
      <w:r w:rsidRPr="00FC6873">
        <w:rPr>
          <w:rFonts w:ascii="Times New Roman" w:hAnsi="Times New Roman" w:cs="Times New Roman"/>
        </w:rPr>
        <w:t xml:space="preserve"> --- avoided the voting. </w:t>
      </w:r>
    </w:p>
    <w:p w:rsidR="00130A7A" w:rsidRPr="00FC6873" w:rsidRDefault="00A11A40" w:rsidP="007A6E9E">
      <w:pPr>
        <w:pStyle w:val="Default"/>
        <w:spacing w:line="360" w:lineRule="auto"/>
        <w:ind w:firstLineChars="150" w:firstLine="360"/>
        <w:jc w:val="both"/>
        <w:rPr>
          <w:rFonts w:ascii="Times New Roman" w:hAnsi="Times New Roman" w:cs="Times New Roman"/>
          <w:iCs/>
        </w:rPr>
      </w:pPr>
      <w:r w:rsidRPr="00FC6873">
        <w:rPr>
          <w:rFonts w:ascii="Times New Roman" w:hAnsi="Times New Roman" w:cs="Times New Roman"/>
        </w:rPr>
        <w:t xml:space="preserve"> </w:t>
      </w:r>
      <w:r w:rsidRPr="00FC6873">
        <w:rPr>
          <w:rFonts w:ascii="Times New Roman" w:hAnsi="Times New Roman" w:cs="Times New Roman"/>
          <w:b/>
          <w:bCs/>
        </w:rPr>
        <w:t>(III) Influence of related transactions:</w:t>
      </w:r>
      <w:r w:rsidRPr="00FC6873">
        <w:rPr>
          <w:rFonts w:ascii="Times New Roman" w:hAnsi="Times New Roman" w:cs="Times New Roman"/>
        </w:rPr>
        <w:t xml:space="preserve"> The said related transactions are reasonable transactions during daily business operation of the Company and have no significant influence on operation activities and financial conditions of the Company as well as the independence of the Company.</w:t>
      </w:r>
    </w:p>
    <w:p w:rsidR="00130A7A" w:rsidRPr="00FC6873" w:rsidRDefault="00130A7A" w:rsidP="007A6E9E">
      <w:pPr>
        <w:pStyle w:val="Default"/>
        <w:spacing w:line="360" w:lineRule="auto"/>
        <w:ind w:firstLineChars="199" w:firstLine="479"/>
        <w:jc w:val="both"/>
        <w:rPr>
          <w:rFonts w:ascii="Times New Roman" w:hAnsi="Times New Roman" w:cs="Times New Roman"/>
          <w:iCs/>
        </w:rPr>
      </w:pPr>
      <w:r w:rsidRPr="00FC6873">
        <w:rPr>
          <w:rFonts w:ascii="Times New Roman" w:hAnsi="Times New Roman" w:cs="Times New Roman"/>
          <w:b/>
          <w:bCs/>
        </w:rPr>
        <w:lastRenderedPageBreak/>
        <w:t>(IV)</w:t>
      </w:r>
      <w:r w:rsidRPr="00FC6873">
        <w:rPr>
          <w:rFonts w:ascii="Times New Roman" w:hAnsi="Times New Roman" w:cs="Times New Roman"/>
        </w:rPr>
        <w:t xml:space="preserve"> The above related transaction still needs to be submitted to the general meeting of the Company for review; related shareholders will avoid the voting for the proposal on reviewing this related transaction in the general meeting of the Company.</w:t>
      </w:r>
    </w:p>
    <w:p w:rsidR="00130A7A" w:rsidRPr="00FC6873" w:rsidRDefault="00130A7A" w:rsidP="007A6E9E">
      <w:pPr>
        <w:autoSpaceDE w:val="0"/>
        <w:autoSpaceDN w:val="0"/>
        <w:adjustRightInd w:val="0"/>
        <w:spacing w:line="360" w:lineRule="auto"/>
        <w:rPr>
          <w:color w:val="000000"/>
          <w:kern w:val="0"/>
          <w:sz w:val="24"/>
        </w:rPr>
      </w:pPr>
    </w:p>
    <w:p w:rsidR="00130A7A" w:rsidRPr="00FC6873" w:rsidRDefault="00130A7A" w:rsidP="007A6E9E">
      <w:pPr>
        <w:pStyle w:val="Default"/>
        <w:spacing w:line="360" w:lineRule="auto"/>
        <w:ind w:firstLineChars="200" w:firstLine="482"/>
        <w:jc w:val="both"/>
        <w:rPr>
          <w:rFonts w:ascii="Times New Roman" w:hAnsi="Times New Roman" w:cs="Times New Roman"/>
          <w:b/>
          <w:iCs/>
        </w:rPr>
      </w:pPr>
      <w:r w:rsidRPr="00FC6873">
        <w:rPr>
          <w:rFonts w:ascii="Times New Roman" w:hAnsi="Times New Roman" w:cs="Times New Roman"/>
          <w:b/>
          <w:bCs/>
        </w:rPr>
        <w:t>I. Overview of Related Transaction</w:t>
      </w:r>
    </w:p>
    <w:p w:rsidR="006868C6" w:rsidRPr="00FC6873" w:rsidRDefault="00130A7A" w:rsidP="007A6E9E">
      <w:pPr>
        <w:autoSpaceDE w:val="0"/>
        <w:autoSpaceDN w:val="0"/>
        <w:adjustRightInd w:val="0"/>
        <w:spacing w:line="360" w:lineRule="auto"/>
        <w:ind w:firstLineChars="200" w:firstLine="480"/>
        <w:rPr>
          <w:iCs/>
          <w:color w:val="000000"/>
          <w:kern w:val="0"/>
          <w:sz w:val="24"/>
        </w:rPr>
      </w:pPr>
      <w:r w:rsidRPr="00FC6873">
        <w:rPr>
          <w:sz w:val="24"/>
        </w:rPr>
        <w:t xml:space="preserve">The 14th Meeting of the 9th Board of Directors of the Company reviewed and passed the Proposal on Announcement of Addition of Related Transaction Quota to Fujian </w:t>
      </w:r>
      <w:proofErr w:type="spellStart"/>
      <w:r w:rsidRPr="00FC6873">
        <w:rPr>
          <w:sz w:val="24"/>
        </w:rPr>
        <w:t>Yango</w:t>
      </w:r>
      <w:proofErr w:type="spellEnd"/>
      <w:r w:rsidRPr="00FC6873">
        <w:rPr>
          <w:sz w:val="24"/>
        </w:rPr>
        <w:t xml:space="preserve"> Group Co., Ltd., agreed </w:t>
      </w:r>
      <w:r w:rsidRPr="00FC6873">
        <w:rPr>
          <w:color w:val="000000"/>
          <w:kern w:val="0"/>
          <w:sz w:val="24"/>
        </w:rPr>
        <w:t xml:space="preserve">to give </w:t>
      </w:r>
      <w:proofErr w:type="spellStart"/>
      <w:r w:rsidRPr="00FC6873">
        <w:rPr>
          <w:color w:val="000000"/>
          <w:kern w:val="0"/>
          <w:sz w:val="24"/>
        </w:rPr>
        <w:t>Yango</w:t>
      </w:r>
      <w:proofErr w:type="spellEnd"/>
      <w:r w:rsidRPr="00FC6873">
        <w:rPr>
          <w:color w:val="000000"/>
          <w:kern w:val="0"/>
          <w:sz w:val="24"/>
        </w:rPr>
        <w:t xml:space="preserve"> Series additional 4 billion of credit related translation quota, wherein: The main credit quota is 3 billion yuan, and the investment limit under non-guarantee financial management is 1 billion yuan. The validity period is extended to June 30, 2021.</w:t>
      </w:r>
    </w:p>
    <w:p w:rsidR="00130A7A" w:rsidRPr="00FC6873" w:rsidRDefault="006868C6" w:rsidP="007A6E9E">
      <w:pPr>
        <w:autoSpaceDE w:val="0"/>
        <w:autoSpaceDN w:val="0"/>
        <w:adjustRightInd w:val="0"/>
        <w:spacing w:line="360" w:lineRule="auto"/>
        <w:ind w:firstLineChars="200" w:firstLine="480"/>
        <w:rPr>
          <w:iCs/>
          <w:color w:val="000000"/>
          <w:kern w:val="0"/>
          <w:sz w:val="24"/>
        </w:rPr>
      </w:pPr>
      <w:r w:rsidRPr="00FC6873">
        <w:rPr>
          <w:color w:val="000000"/>
          <w:kern w:val="0"/>
          <w:sz w:val="24"/>
        </w:rPr>
        <w:t xml:space="preserve">After the change, the company intends to grant </w:t>
      </w:r>
      <w:proofErr w:type="spellStart"/>
      <w:r w:rsidRPr="00FC6873">
        <w:rPr>
          <w:color w:val="000000"/>
          <w:kern w:val="0"/>
          <w:sz w:val="24"/>
        </w:rPr>
        <w:t>Yango</w:t>
      </w:r>
      <w:proofErr w:type="spellEnd"/>
      <w:r w:rsidRPr="00FC6873">
        <w:rPr>
          <w:color w:val="000000"/>
          <w:kern w:val="0"/>
          <w:sz w:val="24"/>
        </w:rPr>
        <w:t xml:space="preserve"> Series related transactions amounting to RMB 41.2 billion, valid until June 30, 2021. Specifically: (1) RMB 22 billion of credit related transaction quota for various short, medium and long-term business types undertaken by related companies; (2) RMB 19.2 billion of non-credit related transaction quota was offered, and transaction </w:t>
      </w:r>
      <w:proofErr w:type="spellStart"/>
      <w:r w:rsidRPr="00FC6873">
        <w:rPr>
          <w:color w:val="000000"/>
          <w:kern w:val="0"/>
          <w:sz w:val="24"/>
        </w:rPr>
        <w:t>typies</w:t>
      </w:r>
      <w:proofErr w:type="spellEnd"/>
      <w:r w:rsidRPr="00FC6873">
        <w:rPr>
          <w:color w:val="000000"/>
          <w:kern w:val="0"/>
          <w:sz w:val="24"/>
        </w:rPr>
        <w:t xml:space="preserve"> includes the structured deposits, public wealth management, capital business, credit asset transfer, commissioned sales, bond underwriting and trust service.</w:t>
      </w:r>
    </w:p>
    <w:p w:rsidR="00130A7A" w:rsidRPr="00FC6873" w:rsidRDefault="00130A7A" w:rsidP="007A6E9E">
      <w:pPr>
        <w:autoSpaceDE w:val="0"/>
        <w:autoSpaceDN w:val="0"/>
        <w:adjustRightInd w:val="0"/>
        <w:spacing w:line="360" w:lineRule="auto"/>
        <w:ind w:firstLineChars="200" w:firstLine="480"/>
        <w:rPr>
          <w:color w:val="000000"/>
          <w:sz w:val="24"/>
        </w:rPr>
      </w:pPr>
      <w:r w:rsidRPr="00FC6873">
        <w:rPr>
          <w:sz w:val="24"/>
        </w:rPr>
        <w:t>After the addition application, the related transaction quota granted</w:t>
      </w:r>
      <w:r w:rsidRPr="00FC6873">
        <w:rPr>
          <w:color w:val="000000"/>
          <w:sz w:val="24"/>
        </w:rPr>
        <w:t xml:space="preserve"> to </w:t>
      </w:r>
      <w:proofErr w:type="spellStart"/>
      <w:r w:rsidRPr="00FC6873">
        <w:rPr>
          <w:color w:val="000000"/>
          <w:sz w:val="24"/>
        </w:rPr>
        <w:t>Yango</w:t>
      </w:r>
      <w:proofErr w:type="spellEnd"/>
      <w:r w:rsidRPr="00FC6873">
        <w:rPr>
          <w:color w:val="000000"/>
          <w:sz w:val="24"/>
        </w:rPr>
        <w:t xml:space="preserve"> Series this time is more than 5% of the absolute value of the audited net assets of the company in the nearest period, and above related transaction matters have been audited and passed by the Board of Directors and the Related Transaction Control Committee and the Board of Directors, and still need to be approved by the general meeting.</w:t>
      </w:r>
    </w:p>
    <w:p w:rsidR="00CF3F82" w:rsidRPr="00FC6873" w:rsidRDefault="00CF3F82" w:rsidP="00130A7A">
      <w:pPr>
        <w:autoSpaceDE w:val="0"/>
        <w:autoSpaceDN w:val="0"/>
        <w:adjustRightInd w:val="0"/>
        <w:spacing w:line="360" w:lineRule="auto"/>
        <w:ind w:firstLineChars="200" w:firstLine="482"/>
        <w:jc w:val="left"/>
        <w:rPr>
          <w:b/>
          <w:sz w:val="24"/>
        </w:rPr>
      </w:pPr>
    </w:p>
    <w:p w:rsidR="00130A7A" w:rsidRPr="00FC6873" w:rsidRDefault="00130A7A" w:rsidP="00130A7A">
      <w:pPr>
        <w:autoSpaceDE w:val="0"/>
        <w:autoSpaceDN w:val="0"/>
        <w:adjustRightInd w:val="0"/>
        <w:spacing w:line="360" w:lineRule="auto"/>
        <w:ind w:firstLineChars="200" w:firstLine="482"/>
        <w:jc w:val="left"/>
        <w:rPr>
          <w:b/>
          <w:sz w:val="24"/>
        </w:rPr>
      </w:pPr>
      <w:r w:rsidRPr="00FC6873">
        <w:rPr>
          <w:b/>
          <w:bCs/>
          <w:sz w:val="24"/>
        </w:rPr>
        <w:t xml:space="preserve">II. Introduction of Related Parties </w:t>
      </w:r>
    </w:p>
    <w:p w:rsidR="00130A7A" w:rsidRPr="00FC6873" w:rsidRDefault="00130A7A" w:rsidP="00130A7A">
      <w:pPr>
        <w:pStyle w:val="Default"/>
        <w:spacing w:line="360" w:lineRule="auto"/>
        <w:ind w:firstLineChars="150" w:firstLine="360"/>
        <w:rPr>
          <w:rFonts w:ascii="Times New Roman" w:hAnsi="Times New Roman" w:cs="Times New Roman"/>
        </w:rPr>
      </w:pPr>
      <w:r w:rsidRPr="00FC6873">
        <w:rPr>
          <w:rFonts w:ascii="Times New Roman" w:hAnsi="Times New Roman" w:cs="Times New Roman"/>
          <w:kern w:val="2"/>
        </w:rPr>
        <w:t>(I) Basic Information of Related Parties</w:t>
      </w:r>
    </w:p>
    <w:p w:rsidR="000C092D" w:rsidRPr="00FC6873" w:rsidRDefault="006868C6" w:rsidP="006868C6">
      <w:pPr>
        <w:spacing w:line="360" w:lineRule="auto"/>
        <w:ind w:firstLineChars="200" w:firstLine="480"/>
        <w:rPr>
          <w:kern w:val="0"/>
          <w:sz w:val="24"/>
        </w:rPr>
      </w:pPr>
      <w:r w:rsidRPr="00FC6873">
        <w:rPr>
          <w:kern w:val="0"/>
          <w:sz w:val="24"/>
        </w:rPr>
        <w:t xml:space="preserve">Fujian </w:t>
      </w:r>
      <w:proofErr w:type="spellStart"/>
      <w:r w:rsidRPr="00FC6873">
        <w:rPr>
          <w:kern w:val="0"/>
          <w:sz w:val="24"/>
        </w:rPr>
        <w:t>Yango</w:t>
      </w:r>
      <w:proofErr w:type="spellEnd"/>
      <w:r w:rsidRPr="00FC6873">
        <w:rPr>
          <w:kern w:val="0"/>
          <w:sz w:val="24"/>
        </w:rPr>
        <w:t xml:space="preserve"> Group Co., Ltd. was incorporated in February 2002. Legal representative: Wu </w:t>
      </w:r>
      <w:proofErr w:type="spellStart"/>
      <w:r w:rsidRPr="00FC6873">
        <w:rPr>
          <w:kern w:val="0"/>
          <w:sz w:val="24"/>
        </w:rPr>
        <w:t>Jie</w:t>
      </w:r>
      <w:proofErr w:type="spellEnd"/>
      <w:r w:rsidRPr="00FC6873">
        <w:rPr>
          <w:kern w:val="0"/>
          <w:sz w:val="24"/>
        </w:rPr>
        <w:t xml:space="preserve">. Place of registration: Fuzhou. Registered capital: RMB 7.16 billion. Shareholders structure: Wu </w:t>
      </w:r>
      <w:proofErr w:type="spellStart"/>
      <w:r w:rsidRPr="00FC6873">
        <w:rPr>
          <w:kern w:val="0"/>
          <w:sz w:val="24"/>
        </w:rPr>
        <w:t>Jie</w:t>
      </w:r>
      <w:proofErr w:type="spellEnd"/>
      <w:r w:rsidRPr="00FC6873">
        <w:rPr>
          <w:kern w:val="0"/>
          <w:sz w:val="24"/>
        </w:rPr>
        <w:t xml:space="preserve"> (45.46%), Lin </w:t>
      </w:r>
      <w:proofErr w:type="spellStart"/>
      <w:r w:rsidRPr="00FC6873">
        <w:rPr>
          <w:kern w:val="0"/>
          <w:sz w:val="24"/>
        </w:rPr>
        <w:t>Xueying</w:t>
      </w:r>
      <w:proofErr w:type="spellEnd"/>
      <w:r w:rsidRPr="00FC6873">
        <w:rPr>
          <w:kern w:val="0"/>
          <w:sz w:val="24"/>
        </w:rPr>
        <w:t xml:space="preserve"> (10.66%), </w:t>
      </w:r>
      <w:proofErr w:type="spellStart"/>
      <w:r w:rsidRPr="00FC6873">
        <w:rPr>
          <w:kern w:val="0"/>
          <w:sz w:val="24"/>
        </w:rPr>
        <w:t>Yango</w:t>
      </w:r>
      <w:proofErr w:type="spellEnd"/>
      <w:r w:rsidRPr="00FC6873">
        <w:rPr>
          <w:kern w:val="0"/>
          <w:sz w:val="24"/>
        </w:rPr>
        <w:t xml:space="preserve"> </w:t>
      </w:r>
      <w:r w:rsidRPr="00FC6873">
        <w:rPr>
          <w:kern w:val="0"/>
          <w:sz w:val="24"/>
        </w:rPr>
        <w:lastRenderedPageBreak/>
        <w:t xml:space="preserve">Holdings Limited. (43.88%). According to the </w:t>
      </w:r>
      <w:r w:rsidRPr="00FC6873">
        <w:rPr>
          <w:i/>
          <w:iCs/>
          <w:kern w:val="0"/>
          <w:sz w:val="24"/>
        </w:rPr>
        <w:t>Acting-in-Concert Agreement</w:t>
      </w:r>
      <w:r w:rsidRPr="00FC6873">
        <w:rPr>
          <w:kern w:val="0"/>
          <w:sz w:val="24"/>
        </w:rPr>
        <w:t xml:space="preserve"> signed between Wu </w:t>
      </w:r>
      <w:proofErr w:type="spellStart"/>
      <w:r w:rsidRPr="00FC6873">
        <w:rPr>
          <w:kern w:val="0"/>
          <w:sz w:val="24"/>
        </w:rPr>
        <w:t>Jie</w:t>
      </w:r>
      <w:proofErr w:type="spellEnd"/>
      <w:r w:rsidRPr="00FC6873">
        <w:rPr>
          <w:kern w:val="0"/>
          <w:sz w:val="24"/>
        </w:rPr>
        <w:t xml:space="preserve"> and Lin </w:t>
      </w:r>
      <w:proofErr w:type="spellStart"/>
      <w:r w:rsidRPr="00FC6873">
        <w:rPr>
          <w:kern w:val="0"/>
          <w:sz w:val="24"/>
        </w:rPr>
        <w:t>Tengjiao</w:t>
      </w:r>
      <w:proofErr w:type="spellEnd"/>
      <w:r w:rsidRPr="00FC6873">
        <w:rPr>
          <w:kern w:val="0"/>
          <w:sz w:val="24"/>
        </w:rPr>
        <w:t xml:space="preserve">, Lin </w:t>
      </w:r>
      <w:proofErr w:type="spellStart"/>
      <w:r w:rsidRPr="00FC6873">
        <w:rPr>
          <w:kern w:val="0"/>
          <w:sz w:val="24"/>
        </w:rPr>
        <w:t>Tengjiao</w:t>
      </w:r>
      <w:proofErr w:type="spellEnd"/>
      <w:r w:rsidRPr="00FC6873">
        <w:rPr>
          <w:kern w:val="0"/>
          <w:sz w:val="24"/>
        </w:rPr>
        <w:t xml:space="preserve"> and Wu </w:t>
      </w:r>
      <w:proofErr w:type="spellStart"/>
      <w:r w:rsidRPr="00FC6873">
        <w:rPr>
          <w:kern w:val="0"/>
          <w:sz w:val="24"/>
        </w:rPr>
        <w:t>Jie</w:t>
      </w:r>
      <w:proofErr w:type="spellEnd"/>
      <w:r w:rsidRPr="00FC6873">
        <w:rPr>
          <w:kern w:val="0"/>
          <w:sz w:val="24"/>
        </w:rPr>
        <w:t xml:space="preserve"> are persons acting in concert, the actual controller of </w:t>
      </w:r>
      <w:proofErr w:type="spellStart"/>
      <w:r w:rsidRPr="00FC6873">
        <w:rPr>
          <w:kern w:val="0"/>
          <w:sz w:val="24"/>
        </w:rPr>
        <w:t>Yango</w:t>
      </w:r>
      <w:proofErr w:type="spellEnd"/>
      <w:r w:rsidRPr="00FC6873">
        <w:rPr>
          <w:kern w:val="0"/>
          <w:sz w:val="24"/>
        </w:rPr>
        <w:t xml:space="preserve">, Wu </w:t>
      </w:r>
      <w:proofErr w:type="spellStart"/>
      <w:r w:rsidRPr="00FC6873">
        <w:rPr>
          <w:kern w:val="0"/>
          <w:sz w:val="24"/>
        </w:rPr>
        <w:t>Jie</w:t>
      </w:r>
      <w:proofErr w:type="spellEnd"/>
      <w:r w:rsidRPr="00FC6873">
        <w:rPr>
          <w:kern w:val="0"/>
          <w:sz w:val="24"/>
        </w:rPr>
        <w:t xml:space="preserve"> is entitled to 89.34% voting rights of </w:t>
      </w:r>
      <w:proofErr w:type="spellStart"/>
      <w:r w:rsidRPr="00FC6873">
        <w:rPr>
          <w:kern w:val="0"/>
          <w:sz w:val="24"/>
        </w:rPr>
        <w:t>Yango</w:t>
      </w:r>
      <w:proofErr w:type="spellEnd"/>
      <w:r w:rsidRPr="00FC6873">
        <w:rPr>
          <w:kern w:val="0"/>
          <w:sz w:val="24"/>
        </w:rPr>
        <w:t xml:space="preserve"> Group, Ltd. and is the actual controller of such company.</w:t>
      </w:r>
    </w:p>
    <w:p w:rsidR="006868C6" w:rsidRPr="00FC6873" w:rsidRDefault="006868C6" w:rsidP="006868C6">
      <w:pPr>
        <w:spacing w:line="360" w:lineRule="auto"/>
        <w:ind w:firstLineChars="200" w:firstLine="480"/>
        <w:rPr>
          <w:kern w:val="0"/>
          <w:sz w:val="24"/>
        </w:rPr>
      </w:pPr>
      <w:r w:rsidRPr="00FC6873">
        <w:rPr>
          <w:kern w:val="0"/>
          <w:sz w:val="24"/>
        </w:rPr>
        <w:t xml:space="preserve">As of the end of September, 2018, Fujian </w:t>
      </w:r>
      <w:proofErr w:type="spellStart"/>
      <w:r w:rsidRPr="00FC6873">
        <w:rPr>
          <w:kern w:val="0"/>
          <w:sz w:val="24"/>
        </w:rPr>
        <w:t>Yango</w:t>
      </w:r>
      <w:proofErr w:type="spellEnd"/>
      <w:r w:rsidRPr="00FC6873">
        <w:rPr>
          <w:kern w:val="0"/>
          <w:sz w:val="24"/>
        </w:rPr>
        <w:t xml:space="preserve"> Group's total consolidated assets were RMB 308.844 billion, and the owner's equity of RMB 46.873 billion, with asset liability ratio of 84.82%. From January to September of 2018, its operation revenue realized RMB 48.86 billion with the net profit of RMB 1.673 billion and operational net cash inflow of RMB 10.226 billion.</w:t>
      </w:r>
    </w:p>
    <w:p w:rsidR="00130A7A" w:rsidRPr="00FC6873" w:rsidRDefault="00130A7A" w:rsidP="00130A7A">
      <w:pPr>
        <w:pStyle w:val="Default"/>
        <w:spacing w:line="360" w:lineRule="auto"/>
        <w:ind w:firstLineChars="150" w:firstLine="360"/>
        <w:rPr>
          <w:rFonts w:ascii="Times New Roman" w:hAnsi="Times New Roman" w:cs="Times New Roman"/>
        </w:rPr>
      </w:pPr>
      <w:r w:rsidRPr="00FC6873">
        <w:rPr>
          <w:rFonts w:ascii="Times New Roman" w:hAnsi="Times New Roman" w:cs="Times New Roman"/>
        </w:rPr>
        <w:t>(II) Related Relationship with Listed Companies</w:t>
      </w:r>
    </w:p>
    <w:p w:rsidR="00130A7A" w:rsidRPr="00FC6873" w:rsidRDefault="005E35CA" w:rsidP="00130A7A">
      <w:pPr>
        <w:spacing w:line="360" w:lineRule="auto"/>
        <w:ind w:firstLineChars="200" w:firstLine="480"/>
        <w:rPr>
          <w:sz w:val="24"/>
        </w:rPr>
      </w:pPr>
      <w:r w:rsidRPr="00FC6873">
        <w:rPr>
          <w:kern w:val="0"/>
          <w:sz w:val="24"/>
        </w:rPr>
        <w:t xml:space="preserve">Fujian </w:t>
      </w:r>
      <w:proofErr w:type="spellStart"/>
      <w:r w:rsidRPr="00FC6873">
        <w:rPr>
          <w:kern w:val="0"/>
          <w:sz w:val="24"/>
        </w:rPr>
        <w:t>Yango</w:t>
      </w:r>
      <w:proofErr w:type="spellEnd"/>
      <w:r w:rsidRPr="00FC6873">
        <w:rPr>
          <w:kern w:val="0"/>
          <w:sz w:val="24"/>
        </w:rPr>
        <w:t xml:space="preserve"> Group Co., Ltd. is the subsidiary of </w:t>
      </w:r>
      <w:proofErr w:type="spellStart"/>
      <w:r w:rsidRPr="00FC6873">
        <w:rPr>
          <w:kern w:val="0"/>
          <w:sz w:val="24"/>
        </w:rPr>
        <w:t>Yango</w:t>
      </w:r>
      <w:proofErr w:type="spellEnd"/>
      <w:r w:rsidRPr="00FC6873">
        <w:rPr>
          <w:kern w:val="0"/>
          <w:sz w:val="24"/>
        </w:rPr>
        <w:t xml:space="preserve"> Holdings Limited.</w:t>
      </w:r>
      <w:r w:rsidRPr="00FC6873">
        <w:t xml:space="preserve"> </w:t>
      </w:r>
      <w:proofErr w:type="spellStart"/>
      <w:r w:rsidRPr="00FC6873">
        <w:rPr>
          <w:sz w:val="24"/>
        </w:rPr>
        <w:t>Yango</w:t>
      </w:r>
      <w:proofErr w:type="spellEnd"/>
      <w:r w:rsidRPr="00FC6873">
        <w:rPr>
          <w:sz w:val="24"/>
        </w:rPr>
        <w:t xml:space="preserve"> Holdings Co., Ltd. now holds 2.39% of the company's total equity and its Chairman Mr. Lin </w:t>
      </w:r>
      <w:proofErr w:type="spellStart"/>
      <w:r w:rsidRPr="00FC6873">
        <w:rPr>
          <w:sz w:val="24"/>
        </w:rPr>
        <w:t>Tengjiao</w:t>
      </w:r>
      <w:proofErr w:type="spellEnd"/>
      <w:r w:rsidRPr="00FC6873">
        <w:rPr>
          <w:sz w:val="24"/>
        </w:rPr>
        <w:t xml:space="preserve"> is appointed as Director under the Company's recommendation, the reviewing of Board of Directors, election of General Meeting and the approval of original CBRC. The affiliates of </w:t>
      </w:r>
      <w:proofErr w:type="spellStart"/>
      <w:r w:rsidRPr="00FC6873">
        <w:rPr>
          <w:sz w:val="24"/>
        </w:rPr>
        <w:t>Yango</w:t>
      </w:r>
      <w:proofErr w:type="spellEnd"/>
      <w:r w:rsidRPr="00FC6873">
        <w:rPr>
          <w:sz w:val="24"/>
        </w:rPr>
        <w:t xml:space="preserve"> Holdings Limited, Fujian </w:t>
      </w:r>
      <w:proofErr w:type="spellStart"/>
      <w:r w:rsidRPr="00FC6873">
        <w:rPr>
          <w:sz w:val="24"/>
        </w:rPr>
        <w:t>Yango</w:t>
      </w:r>
      <w:proofErr w:type="spellEnd"/>
      <w:r w:rsidRPr="00FC6873">
        <w:rPr>
          <w:sz w:val="24"/>
        </w:rPr>
        <w:t xml:space="preserve"> Group Co., Ltd. which is </w:t>
      </w:r>
      <w:r w:rsidRPr="00FC6873">
        <w:rPr>
          <w:kern w:val="0"/>
          <w:sz w:val="24"/>
        </w:rPr>
        <w:t xml:space="preserve">directly, indirectly or jointly controlled or significantly impacted on </w:t>
      </w:r>
      <w:r w:rsidRPr="00FC6873">
        <w:rPr>
          <w:sz w:val="24"/>
        </w:rPr>
        <w:t xml:space="preserve">by Mr. Lin </w:t>
      </w:r>
      <w:proofErr w:type="spellStart"/>
      <w:r w:rsidRPr="00FC6873">
        <w:rPr>
          <w:sz w:val="24"/>
        </w:rPr>
        <w:t>Tengjiao</w:t>
      </w:r>
      <w:proofErr w:type="spellEnd"/>
      <w:r w:rsidRPr="00FC6873">
        <w:rPr>
          <w:sz w:val="24"/>
        </w:rPr>
        <w:t xml:space="preserve"> and his close relatives are related legal entities of the Company.</w:t>
      </w:r>
    </w:p>
    <w:p w:rsidR="00CF3F82" w:rsidRPr="00FC6873" w:rsidRDefault="00CF3F82" w:rsidP="00130A7A">
      <w:pPr>
        <w:pStyle w:val="Default"/>
        <w:spacing w:line="360" w:lineRule="auto"/>
        <w:ind w:firstLineChars="200" w:firstLine="482"/>
        <w:rPr>
          <w:rFonts w:ascii="Times New Roman" w:hAnsi="Times New Roman" w:cs="Times New Roman"/>
          <w:b/>
          <w:color w:val="auto"/>
        </w:rPr>
      </w:pPr>
    </w:p>
    <w:p w:rsidR="00130A7A" w:rsidRPr="00FC6873" w:rsidRDefault="00130A7A" w:rsidP="00130A7A">
      <w:pPr>
        <w:pStyle w:val="Default"/>
        <w:spacing w:line="360" w:lineRule="auto"/>
        <w:ind w:firstLineChars="200" w:firstLine="482"/>
        <w:rPr>
          <w:rFonts w:ascii="Times New Roman" w:hAnsi="Times New Roman" w:cs="Times New Roman"/>
          <w:b/>
          <w:color w:val="auto"/>
        </w:rPr>
      </w:pPr>
      <w:r w:rsidRPr="00FC6873">
        <w:rPr>
          <w:rFonts w:ascii="Times New Roman" w:hAnsi="Times New Roman" w:cs="Times New Roman"/>
          <w:b/>
          <w:bCs/>
          <w:color w:val="auto"/>
        </w:rPr>
        <w:t>III. Main Content and Pricing Policy of Related Transaction</w:t>
      </w:r>
    </w:p>
    <w:p w:rsidR="00130A7A" w:rsidRPr="00FC6873" w:rsidRDefault="00130A7A" w:rsidP="00130A7A">
      <w:pPr>
        <w:pStyle w:val="Default"/>
        <w:spacing w:line="360" w:lineRule="auto"/>
        <w:ind w:firstLineChars="200" w:firstLine="480"/>
        <w:rPr>
          <w:rFonts w:ascii="Times New Roman" w:hAnsi="Times New Roman" w:cs="Times New Roman"/>
          <w:color w:val="auto"/>
        </w:rPr>
      </w:pPr>
      <w:r w:rsidRPr="00FC6873">
        <w:rPr>
          <w:rFonts w:ascii="Times New Roman" w:hAnsi="Times New Roman" w:cs="Times New Roman"/>
          <w:color w:val="auto"/>
        </w:rPr>
        <w:t>(I) Main Content of Related Transaction</w:t>
      </w:r>
    </w:p>
    <w:p w:rsidR="006868C6" w:rsidRPr="00FC6873" w:rsidRDefault="00710733" w:rsidP="00130A7A">
      <w:pPr>
        <w:spacing w:line="360" w:lineRule="auto"/>
        <w:ind w:firstLineChars="200" w:firstLine="480"/>
        <w:rPr>
          <w:iCs/>
          <w:color w:val="000000"/>
          <w:kern w:val="0"/>
          <w:sz w:val="24"/>
        </w:rPr>
      </w:pPr>
      <w:r w:rsidRPr="00FC6873">
        <w:rPr>
          <w:sz w:val="24"/>
        </w:rPr>
        <w:t xml:space="preserve">In May 2018, the company's annual shareholder meeting in 2017 approved the grant the </w:t>
      </w:r>
      <w:proofErr w:type="spellStart"/>
      <w:r w:rsidRPr="00FC6873">
        <w:rPr>
          <w:sz w:val="24"/>
        </w:rPr>
        <w:t>Yango</w:t>
      </w:r>
      <w:proofErr w:type="spellEnd"/>
      <w:r w:rsidRPr="00FC6873">
        <w:rPr>
          <w:sz w:val="24"/>
        </w:rPr>
        <w:t xml:space="preserve"> Series credit related transaction quota of RMB 18 billion and non-credit related transaction quota of RMB 19.2 billion, valid until April 30, 2021. According to the company's further business cooperation needs with the </w:t>
      </w:r>
      <w:proofErr w:type="spellStart"/>
      <w:r w:rsidRPr="00FC6873">
        <w:rPr>
          <w:sz w:val="24"/>
        </w:rPr>
        <w:t>Yango</w:t>
      </w:r>
      <w:proofErr w:type="spellEnd"/>
      <w:r w:rsidRPr="00FC6873">
        <w:rPr>
          <w:sz w:val="24"/>
        </w:rPr>
        <w:t xml:space="preserve"> Series, the company intends to add a total of 4 billion yuan of credit related </w:t>
      </w:r>
      <w:proofErr w:type="spellStart"/>
      <w:r w:rsidRPr="00FC6873">
        <w:rPr>
          <w:sz w:val="24"/>
        </w:rPr>
        <w:t>transction</w:t>
      </w:r>
      <w:proofErr w:type="spellEnd"/>
      <w:r w:rsidRPr="00FC6873">
        <w:rPr>
          <w:sz w:val="24"/>
        </w:rPr>
        <w:t xml:space="preserve"> quota to the </w:t>
      </w:r>
      <w:proofErr w:type="spellStart"/>
      <w:r w:rsidRPr="00FC6873">
        <w:rPr>
          <w:sz w:val="24"/>
        </w:rPr>
        <w:t>Yango</w:t>
      </w:r>
      <w:proofErr w:type="spellEnd"/>
      <w:r w:rsidRPr="00FC6873">
        <w:rPr>
          <w:sz w:val="24"/>
        </w:rPr>
        <w:t xml:space="preserve"> Series, including: The main credit quota is 3 billion yuan, </w:t>
      </w:r>
      <w:r w:rsidRPr="00FC6873">
        <w:rPr>
          <w:color w:val="000000"/>
          <w:kern w:val="0"/>
          <w:sz w:val="24"/>
        </w:rPr>
        <w:t>and the investment limit under non-guarantee financial management is 1 billion yuan. The validity period is extended to June 30, 2021.</w:t>
      </w:r>
    </w:p>
    <w:p w:rsidR="00710733" w:rsidRPr="00FC6873" w:rsidRDefault="00130A7A" w:rsidP="00130A7A">
      <w:pPr>
        <w:spacing w:line="360" w:lineRule="auto"/>
        <w:ind w:firstLineChars="200" w:firstLine="480"/>
        <w:rPr>
          <w:sz w:val="24"/>
        </w:rPr>
      </w:pPr>
      <w:r w:rsidRPr="00FC6873">
        <w:rPr>
          <w:sz w:val="24"/>
        </w:rPr>
        <w:t>After this change, the company intends to grant</w:t>
      </w:r>
      <w:r w:rsidRPr="00FC6873">
        <w:rPr>
          <w:color w:val="000000"/>
          <w:kern w:val="0"/>
          <w:sz w:val="24"/>
        </w:rPr>
        <w:t xml:space="preserve"> </w:t>
      </w:r>
      <w:proofErr w:type="spellStart"/>
      <w:r w:rsidRPr="00FC6873">
        <w:rPr>
          <w:color w:val="000000"/>
          <w:kern w:val="0"/>
          <w:sz w:val="24"/>
        </w:rPr>
        <w:t>Yango</w:t>
      </w:r>
      <w:proofErr w:type="spellEnd"/>
      <w:r w:rsidRPr="00FC6873">
        <w:rPr>
          <w:color w:val="000000"/>
          <w:kern w:val="0"/>
          <w:sz w:val="24"/>
        </w:rPr>
        <w:t xml:space="preserve"> Series related transactions </w:t>
      </w:r>
      <w:r w:rsidRPr="00FC6873">
        <w:rPr>
          <w:color w:val="000000"/>
          <w:kern w:val="0"/>
          <w:sz w:val="24"/>
        </w:rPr>
        <w:lastRenderedPageBreak/>
        <w:t xml:space="preserve">amounting to RMB 41.2 billion, valid until June 30, 2021. Specifically: (1) RMB 22 billion of credit related transaction quota for various short, medium and long-term business types undertaken by related companies; (2) RMB 19.2 billion of non-credit related transaction quota was offered, and transaction </w:t>
      </w:r>
      <w:proofErr w:type="spellStart"/>
      <w:r w:rsidRPr="00FC6873">
        <w:rPr>
          <w:color w:val="000000"/>
          <w:kern w:val="0"/>
          <w:sz w:val="24"/>
        </w:rPr>
        <w:t>typies</w:t>
      </w:r>
      <w:proofErr w:type="spellEnd"/>
      <w:r w:rsidRPr="00FC6873">
        <w:rPr>
          <w:color w:val="000000"/>
          <w:kern w:val="0"/>
          <w:sz w:val="24"/>
        </w:rPr>
        <w:t xml:space="preserve"> includes the structured deposits, public wealth management, capital business, credit asset transfer, commissioned sales, bond underwriting and trust service.</w:t>
      </w:r>
    </w:p>
    <w:p w:rsidR="00130A7A" w:rsidRPr="00FC6873" w:rsidRDefault="00130A7A" w:rsidP="007A6E9E">
      <w:pPr>
        <w:pStyle w:val="Default"/>
        <w:spacing w:line="360" w:lineRule="auto"/>
        <w:ind w:firstLineChars="200" w:firstLine="480"/>
        <w:jc w:val="both"/>
        <w:rPr>
          <w:rFonts w:ascii="Times New Roman" w:hAnsi="Times New Roman" w:cs="Times New Roman"/>
          <w:color w:val="auto"/>
        </w:rPr>
      </w:pPr>
      <w:r w:rsidRPr="00FC6873">
        <w:rPr>
          <w:rFonts w:ascii="Times New Roman" w:hAnsi="Times New Roman" w:cs="Times New Roman"/>
          <w:color w:val="auto"/>
        </w:rPr>
        <w:t>(II) Pricing Policy</w:t>
      </w:r>
    </w:p>
    <w:p w:rsidR="00130A7A" w:rsidRPr="00FC6873" w:rsidRDefault="00130A7A" w:rsidP="007A6E9E">
      <w:pPr>
        <w:pStyle w:val="Default"/>
        <w:spacing w:line="360" w:lineRule="auto"/>
        <w:ind w:firstLineChars="200" w:firstLine="480"/>
        <w:jc w:val="both"/>
        <w:rPr>
          <w:rFonts w:ascii="Times New Roman" w:hAnsi="Times New Roman" w:cs="Times New Roman"/>
          <w:color w:val="auto"/>
        </w:rPr>
      </w:pPr>
      <w:r w:rsidRPr="00FC6873">
        <w:rPr>
          <w:rFonts w:ascii="Times New Roman" w:hAnsi="Times New Roman" w:cs="Times New Roman"/>
          <w:color w:val="auto"/>
        </w:rPr>
        <w:t xml:space="preserve">For related transactions between the Company and </w:t>
      </w:r>
      <w:proofErr w:type="spellStart"/>
      <w:r w:rsidRPr="00FC6873">
        <w:rPr>
          <w:rFonts w:ascii="Times New Roman" w:hAnsi="Times New Roman" w:cs="Times New Roman"/>
          <w:color w:val="auto"/>
        </w:rPr>
        <w:t>Yango</w:t>
      </w:r>
      <w:proofErr w:type="spellEnd"/>
      <w:r w:rsidRPr="00FC6873">
        <w:rPr>
          <w:rFonts w:ascii="Times New Roman" w:hAnsi="Times New Roman" w:cs="Times New Roman"/>
          <w:color w:val="auto"/>
        </w:rPr>
        <w:t xml:space="preserve"> Series, non-related transaction price of an independent third party will be referenced for the pricing of such transactions. 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CF3F82" w:rsidRPr="00FC6873" w:rsidRDefault="00CF3F82" w:rsidP="007A6E9E">
      <w:pPr>
        <w:pStyle w:val="Default"/>
        <w:spacing w:line="360" w:lineRule="auto"/>
        <w:ind w:firstLineChars="200" w:firstLine="482"/>
        <w:jc w:val="both"/>
        <w:rPr>
          <w:rFonts w:ascii="Times New Roman" w:hAnsi="Times New Roman" w:cs="Times New Roman"/>
          <w:b/>
          <w:color w:val="auto"/>
        </w:rPr>
      </w:pPr>
    </w:p>
    <w:p w:rsidR="00130A7A" w:rsidRPr="00FC6873" w:rsidRDefault="00130A7A" w:rsidP="007A6E9E">
      <w:pPr>
        <w:pStyle w:val="Default"/>
        <w:spacing w:line="360" w:lineRule="auto"/>
        <w:ind w:firstLineChars="200" w:firstLine="482"/>
        <w:jc w:val="both"/>
        <w:rPr>
          <w:rFonts w:ascii="Times New Roman" w:hAnsi="Times New Roman" w:cs="Times New Roman"/>
          <w:b/>
          <w:color w:val="auto"/>
        </w:rPr>
      </w:pPr>
      <w:r w:rsidRPr="00FC6873">
        <w:rPr>
          <w:rFonts w:ascii="Times New Roman" w:hAnsi="Times New Roman" w:cs="Times New Roman"/>
          <w:b/>
          <w:bCs/>
          <w:color w:val="auto"/>
        </w:rPr>
        <w:t xml:space="preserve">IV. Goal of Related Transaction and Influence of This Related Transaction on Listed Company </w:t>
      </w:r>
    </w:p>
    <w:p w:rsidR="006868C6" w:rsidRPr="00FC6873" w:rsidRDefault="006868C6" w:rsidP="007A6E9E">
      <w:pPr>
        <w:pStyle w:val="Default"/>
        <w:spacing w:line="360" w:lineRule="auto"/>
        <w:ind w:firstLineChars="150" w:firstLine="360"/>
        <w:jc w:val="both"/>
        <w:rPr>
          <w:rFonts w:ascii="Times New Roman" w:hAnsi="Times New Roman" w:cs="Times New Roman"/>
          <w:color w:val="auto"/>
        </w:rPr>
      </w:pPr>
      <w:r w:rsidRPr="00FC6873">
        <w:rPr>
          <w:rFonts w:ascii="Times New Roman" w:hAnsi="Times New Roman" w:cs="Times New Roman"/>
          <w:color w:val="auto"/>
        </w:rPr>
        <w:t xml:space="preserve">Considering that the cooperation between the company and the </w:t>
      </w:r>
      <w:proofErr w:type="spellStart"/>
      <w:r w:rsidRPr="00FC6873">
        <w:rPr>
          <w:rFonts w:ascii="Times New Roman" w:hAnsi="Times New Roman" w:cs="Times New Roman"/>
          <w:color w:val="auto"/>
        </w:rPr>
        <w:t>Yango</w:t>
      </w:r>
      <w:proofErr w:type="spellEnd"/>
      <w:r w:rsidRPr="00FC6873">
        <w:rPr>
          <w:rFonts w:ascii="Times New Roman" w:hAnsi="Times New Roman" w:cs="Times New Roman"/>
          <w:color w:val="auto"/>
        </w:rPr>
        <w:t xml:space="preserve"> Series in various business areas continues to advance, the related business needs are increasing, and the related business carried out by the company and the </w:t>
      </w:r>
      <w:proofErr w:type="spellStart"/>
      <w:r w:rsidRPr="00FC6873">
        <w:rPr>
          <w:rFonts w:ascii="Times New Roman" w:hAnsi="Times New Roman" w:cs="Times New Roman"/>
          <w:color w:val="auto"/>
        </w:rPr>
        <w:t>Yango</w:t>
      </w:r>
      <w:proofErr w:type="spellEnd"/>
      <w:r w:rsidRPr="00FC6873">
        <w:rPr>
          <w:rFonts w:ascii="Times New Roman" w:hAnsi="Times New Roman" w:cs="Times New Roman"/>
          <w:color w:val="auto"/>
        </w:rPr>
        <w:t xml:space="preserve"> Series related parties is conducive to further cooperation.</w:t>
      </w:r>
    </w:p>
    <w:p w:rsidR="006868C6" w:rsidRPr="00FC6873" w:rsidRDefault="006868C6" w:rsidP="007A6E9E">
      <w:pPr>
        <w:pStyle w:val="Default"/>
        <w:spacing w:line="360" w:lineRule="auto"/>
        <w:ind w:firstLineChars="150" w:firstLine="360"/>
        <w:jc w:val="both"/>
        <w:rPr>
          <w:rFonts w:ascii="Times New Roman" w:hAnsi="Times New Roman" w:cs="Times New Roman"/>
          <w:color w:val="auto"/>
        </w:rPr>
      </w:pPr>
      <w:r w:rsidRPr="00FC6873">
        <w:rPr>
          <w:rFonts w:ascii="Times New Roman" w:hAnsi="Times New Roman" w:cs="Times New Roman"/>
          <w:color w:val="auto"/>
        </w:rPr>
        <w:t xml:space="preserve">The said related transactions is entered based on market principles and general business rules or according to conditions not more favorable than those for similar transactions of non-related parties during the daily business operation of the Company. Transaction conditions are fair and reasonable; and such transactions are subject to relevant regulations requirements of the regulatory department and internal policies of the Company and without prejudice to interests of the Company and shareholders </w:t>
      </w:r>
      <w:r w:rsidRPr="00FC6873">
        <w:rPr>
          <w:rFonts w:ascii="Times New Roman" w:hAnsi="Times New Roman" w:cs="Times New Roman"/>
          <w:color w:val="auto"/>
        </w:rPr>
        <w:lastRenderedPageBreak/>
        <w:t>(especially minority shareholders), and will not have negative influence on current and future financial conditions of the Company and independence of the listed company.</w:t>
      </w:r>
    </w:p>
    <w:p w:rsidR="00CF3F82" w:rsidRPr="00FC6873" w:rsidRDefault="00CF3F82" w:rsidP="007A6E9E">
      <w:pPr>
        <w:pStyle w:val="Default"/>
        <w:spacing w:line="360" w:lineRule="auto"/>
        <w:ind w:firstLineChars="150" w:firstLine="361"/>
        <w:jc w:val="both"/>
        <w:rPr>
          <w:rFonts w:ascii="Times New Roman" w:hAnsi="Times New Roman" w:cs="Times New Roman"/>
          <w:b/>
        </w:rPr>
      </w:pPr>
    </w:p>
    <w:p w:rsidR="00130A7A" w:rsidRPr="00FC6873" w:rsidRDefault="00130A7A" w:rsidP="007A6E9E">
      <w:pPr>
        <w:pStyle w:val="Default"/>
        <w:spacing w:line="360" w:lineRule="auto"/>
        <w:ind w:firstLineChars="150" w:firstLine="361"/>
        <w:jc w:val="both"/>
        <w:rPr>
          <w:rFonts w:ascii="Times New Roman" w:hAnsi="Times New Roman" w:cs="Times New Roman"/>
          <w:b/>
        </w:rPr>
      </w:pPr>
      <w:r w:rsidRPr="00FC6873">
        <w:rPr>
          <w:rFonts w:ascii="Times New Roman" w:hAnsi="Times New Roman" w:cs="Times New Roman"/>
          <w:b/>
          <w:bCs/>
        </w:rPr>
        <w:t>V. Opinion of Independent Directors</w:t>
      </w:r>
    </w:p>
    <w:p w:rsidR="00812DDA" w:rsidRPr="00FC6873" w:rsidRDefault="00812DDA" w:rsidP="007A6E9E">
      <w:pPr>
        <w:pStyle w:val="Default"/>
        <w:spacing w:line="360" w:lineRule="auto"/>
        <w:ind w:firstLineChars="200" w:firstLine="480"/>
        <w:jc w:val="both"/>
        <w:rPr>
          <w:rFonts w:ascii="Times New Roman" w:hAnsi="Times New Roman" w:cs="Times New Roman"/>
          <w:color w:val="auto"/>
        </w:rPr>
      </w:pPr>
      <w:r w:rsidRPr="00FC6873">
        <w:rPr>
          <w:rFonts w:ascii="Times New Roman" w:hAnsi="Times New Roman" w:cs="Times New Roman"/>
          <w:color w:val="auto"/>
        </w:rPr>
        <w:t xml:space="preserve">Independent Director Paul M.  Theil, Mr. Zhu Qing, Mr. Liu </w:t>
      </w:r>
      <w:proofErr w:type="spellStart"/>
      <w:r w:rsidRPr="00FC6873">
        <w:rPr>
          <w:rFonts w:ascii="Times New Roman" w:hAnsi="Times New Roman" w:cs="Times New Roman"/>
          <w:color w:val="auto"/>
        </w:rPr>
        <w:t>Shiping</w:t>
      </w:r>
      <w:proofErr w:type="spellEnd"/>
      <w:r w:rsidRPr="00FC6873">
        <w:rPr>
          <w:rFonts w:ascii="Times New Roman" w:hAnsi="Times New Roman" w:cs="Times New Roman"/>
          <w:color w:val="auto"/>
        </w:rPr>
        <w:t xml:space="preserve">, Mr. Su </w:t>
      </w:r>
      <w:proofErr w:type="spellStart"/>
      <w:r w:rsidRPr="00FC6873">
        <w:rPr>
          <w:rFonts w:ascii="Times New Roman" w:hAnsi="Times New Roman" w:cs="Times New Roman"/>
          <w:color w:val="auto"/>
        </w:rPr>
        <w:t>Xijia</w:t>
      </w:r>
      <w:proofErr w:type="spellEnd"/>
      <w:r w:rsidRPr="00FC6873">
        <w:rPr>
          <w:rFonts w:ascii="Times New Roman" w:hAnsi="Times New Roman" w:cs="Times New Roman"/>
          <w:color w:val="auto"/>
        </w:rPr>
        <w:t xml:space="preserve"> and Mr. Lin Hua, expressed the following independent opinions with regard above related transactions:</w:t>
      </w:r>
    </w:p>
    <w:p w:rsidR="001F0CCE" w:rsidRPr="00FC6873" w:rsidRDefault="001F0CCE" w:rsidP="007A6E9E">
      <w:pPr>
        <w:spacing w:line="360" w:lineRule="auto"/>
        <w:ind w:firstLineChars="200" w:firstLine="480"/>
        <w:rPr>
          <w:sz w:val="24"/>
        </w:rPr>
      </w:pPr>
      <w:r w:rsidRPr="00FC6873">
        <w:rPr>
          <w:sz w:val="24"/>
        </w:rPr>
        <w:t>1. Procedure. The above related transactions have fulfilled the deliberation process of the Board of Directors and are still subject to the approval of the shareholders' meeting. The related director avoided the voting when the Board of Directors was deliberating the above-mentioned related transaction proposal. The process complies with the requirements of China Banking and Insurance Regulatory Commission, China Securities Regulatory Commission, Shanghai Stock Exchange and other regulatory departments, as well as other regulations in the Articles of Association and the Administrative Measures on Related Transactions.</w:t>
      </w:r>
    </w:p>
    <w:p w:rsidR="00812DDA" w:rsidRPr="00FC6873" w:rsidRDefault="00812DDA" w:rsidP="007A6E9E">
      <w:pPr>
        <w:pStyle w:val="Default"/>
        <w:spacing w:line="360" w:lineRule="auto"/>
        <w:ind w:firstLineChars="200" w:firstLine="480"/>
        <w:jc w:val="both"/>
        <w:rPr>
          <w:rFonts w:ascii="Times New Roman" w:hAnsi="Times New Roman" w:cs="Times New Roman"/>
          <w:color w:val="auto"/>
        </w:rPr>
      </w:pPr>
      <w:r w:rsidRPr="00FC6873">
        <w:rPr>
          <w:rFonts w:ascii="Times New Roman" w:hAnsi="Times New Roman" w:cs="Times New Roman"/>
          <w:color w:val="auto"/>
        </w:rPr>
        <w:t>2.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CF3F82" w:rsidRPr="00FC6873" w:rsidRDefault="00CF3F82" w:rsidP="007A6E9E">
      <w:pPr>
        <w:pStyle w:val="Default"/>
        <w:spacing w:line="360" w:lineRule="auto"/>
        <w:ind w:firstLineChars="200" w:firstLine="480"/>
        <w:jc w:val="both"/>
        <w:rPr>
          <w:rFonts w:ascii="Times New Roman" w:hAnsi="Times New Roman" w:cs="Times New Roman"/>
          <w:color w:val="auto"/>
        </w:rPr>
      </w:pPr>
    </w:p>
    <w:p w:rsidR="00130A7A" w:rsidRPr="00FC6873" w:rsidRDefault="00130A7A" w:rsidP="007A6E9E">
      <w:pPr>
        <w:pStyle w:val="Default"/>
        <w:spacing w:line="360" w:lineRule="auto"/>
        <w:ind w:firstLineChars="150" w:firstLine="361"/>
        <w:jc w:val="both"/>
        <w:rPr>
          <w:rFonts w:ascii="Times New Roman" w:hAnsi="Times New Roman" w:cs="Times New Roman"/>
          <w:b/>
        </w:rPr>
      </w:pPr>
      <w:r w:rsidRPr="00FC6873">
        <w:rPr>
          <w:rFonts w:ascii="Times New Roman" w:hAnsi="Times New Roman" w:cs="Times New Roman"/>
          <w:b/>
          <w:bCs/>
        </w:rPr>
        <w:t xml:space="preserve">VI. Contents of Reference Documents </w:t>
      </w:r>
    </w:p>
    <w:p w:rsidR="00130A7A" w:rsidRPr="00FC6873" w:rsidRDefault="00130A7A" w:rsidP="007A6E9E">
      <w:pPr>
        <w:pStyle w:val="Default"/>
        <w:spacing w:line="360" w:lineRule="auto"/>
        <w:ind w:firstLineChars="150" w:firstLine="360"/>
        <w:jc w:val="both"/>
        <w:rPr>
          <w:rFonts w:ascii="Times New Roman" w:hAnsi="Times New Roman" w:cs="Times New Roman"/>
        </w:rPr>
      </w:pPr>
      <w:r w:rsidRPr="00FC6873">
        <w:rPr>
          <w:rFonts w:ascii="Times New Roman" w:hAnsi="Times New Roman" w:cs="Times New Roman"/>
        </w:rPr>
        <w:t xml:space="preserve">1. Resolution of Audit &amp; Related Transaction Control Committee of Board of Directors; </w:t>
      </w:r>
    </w:p>
    <w:p w:rsidR="00130A7A" w:rsidRPr="00FC6873" w:rsidRDefault="00130A7A" w:rsidP="007A6E9E">
      <w:pPr>
        <w:pStyle w:val="Default"/>
        <w:spacing w:line="360" w:lineRule="auto"/>
        <w:ind w:firstLineChars="150" w:firstLine="360"/>
        <w:jc w:val="both"/>
        <w:rPr>
          <w:rFonts w:ascii="Times New Roman" w:hAnsi="Times New Roman" w:cs="Times New Roman"/>
        </w:rPr>
      </w:pPr>
      <w:r w:rsidRPr="00FC6873">
        <w:rPr>
          <w:rFonts w:ascii="Times New Roman" w:hAnsi="Times New Roman" w:cs="Times New Roman"/>
        </w:rPr>
        <w:t>2. Resolution of Board of Directors;</w:t>
      </w:r>
    </w:p>
    <w:p w:rsidR="00812DDA" w:rsidRPr="00FC6873" w:rsidRDefault="00812DDA" w:rsidP="007A6E9E">
      <w:pPr>
        <w:pStyle w:val="Default"/>
        <w:spacing w:line="360" w:lineRule="auto"/>
        <w:ind w:firstLineChars="150" w:firstLine="360"/>
        <w:jc w:val="both"/>
        <w:rPr>
          <w:rFonts w:ascii="Times New Roman" w:hAnsi="Times New Roman" w:cs="Times New Roman"/>
        </w:rPr>
      </w:pPr>
      <w:r w:rsidRPr="00FC6873">
        <w:rPr>
          <w:rFonts w:ascii="Times New Roman" w:hAnsi="Times New Roman" w:cs="Times New Roman"/>
        </w:rPr>
        <w:lastRenderedPageBreak/>
        <w:t>3. Prior approval signed and confirmed by independent directors;</w:t>
      </w:r>
    </w:p>
    <w:p w:rsidR="00812DDA" w:rsidRPr="00FC6873" w:rsidRDefault="00812DDA" w:rsidP="007A6E9E">
      <w:pPr>
        <w:pStyle w:val="Default"/>
        <w:spacing w:line="360" w:lineRule="auto"/>
        <w:ind w:firstLineChars="150" w:firstLine="360"/>
        <w:jc w:val="both"/>
        <w:rPr>
          <w:rFonts w:ascii="Times New Roman" w:hAnsi="Times New Roman" w:cs="Times New Roman"/>
        </w:rPr>
      </w:pPr>
      <w:r w:rsidRPr="00FC6873">
        <w:rPr>
          <w:rFonts w:ascii="Times New Roman" w:hAnsi="Times New Roman" w:cs="Times New Roman"/>
        </w:rPr>
        <w:t>4. Independent Opinion signed and confirmed by independent directors.</w:t>
      </w:r>
    </w:p>
    <w:p w:rsidR="006E2225" w:rsidRPr="00FC6873" w:rsidRDefault="006E2225" w:rsidP="007A6E9E">
      <w:pPr>
        <w:pStyle w:val="Default"/>
        <w:spacing w:line="360" w:lineRule="auto"/>
        <w:ind w:firstLineChars="200" w:firstLine="480"/>
        <w:jc w:val="both"/>
        <w:rPr>
          <w:rFonts w:ascii="Times New Roman" w:hAnsi="Times New Roman" w:cs="Times New Roman"/>
        </w:rPr>
      </w:pPr>
    </w:p>
    <w:p w:rsidR="00130A7A" w:rsidRPr="00FC6873" w:rsidRDefault="00130A7A" w:rsidP="007A6E9E">
      <w:pPr>
        <w:pStyle w:val="Default"/>
        <w:spacing w:line="360" w:lineRule="auto"/>
        <w:ind w:firstLineChars="200" w:firstLine="480"/>
        <w:jc w:val="both"/>
        <w:rPr>
          <w:rFonts w:ascii="Times New Roman" w:hAnsi="Times New Roman" w:cs="Times New Roman"/>
        </w:rPr>
      </w:pPr>
      <w:r w:rsidRPr="00FC6873">
        <w:rPr>
          <w:rFonts w:ascii="Times New Roman" w:hAnsi="Times New Roman" w:cs="Times New Roman"/>
        </w:rPr>
        <w:t xml:space="preserve">Hereby Announced. </w:t>
      </w:r>
    </w:p>
    <w:p w:rsidR="00130A7A" w:rsidRPr="00FC6873" w:rsidRDefault="00130A7A" w:rsidP="00130A7A">
      <w:pPr>
        <w:pStyle w:val="Default"/>
        <w:spacing w:line="360" w:lineRule="auto"/>
        <w:ind w:firstLineChars="200" w:firstLine="480"/>
        <w:rPr>
          <w:rFonts w:ascii="Times New Roman" w:hAnsi="Times New Roman" w:cs="Times New Roman"/>
        </w:rPr>
      </w:pPr>
    </w:p>
    <w:p w:rsidR="00130A7A" w:rsidRPr="00FC6873" w:rsidRDefault="00130A7A" w:rsidP="00C0088F">
      <w:pPr>
        <w:pStyle w:val="Default"/>
        <w:spacing w:line="360" w:lineRule="auto"/>
        <w:ind w:firstLineChars="1500" w:firstLine="3600"/>
        <w:rPr>
          <w:rFonts w:ascii="Times New Roman" w:hAnsi="Times New Roman" w:cs="Times New Roman"/>
        </w:rPr>
      </w:pPr>
      <w:r w:rsidRPr="00FC6873">
        <w:rPr>
          <w:rFonts w:ascii="Times New Roman" w:hAnsi="Times New Roman" w:cs="Times New Roman"/>
        </w:rPr>
        <w:t>Board of Directors of Industrial Bank Co., Ltd.</w:t>
      </w:r>
    </w:p>
    <w:p w:rsidR="00130A7A" w:rsidRPr="00FC6873" w:rsidRDefault="00130A7A" w:rsidP="00130A7A">
      <w:pPr>
        <w:pStyle w:val="Default"/>
        <w:spacing w:line="360" w:lineRule="auto"/>
        <w:ind w:firstLineChars="1000" w:firstLine="2400"/>
        <w:rPr>
          <w:rFonts w:ascii="Times New Roman" w:hAnsi="Times New Roman" w:cs="Times New Roman"/>
        </w:rPr>
      </w:pPr>
      <w:r w:rsidRPr="00FC6873">
        <w:rPr>
          <w:rFonts w:ascii="Times New Roman" w:hAnsi="Times New Roman" w:cs="Times New Roman"/>
        </w:rPr>
        <w:t xml:space="preserve">                       April 30, 2019</w:t>
      </w:r>
    </w:p>
    <w:p w:rsidR="00130A7A" w:rsidRPr="00FC6873" w:rsidRDefault="00130A7A" w:rsidP="00130A7A">
      <w:pPr>
        <w:autoSpaceDE w:val="0"/>
        <w:autoSpaceDN w:val="0"/>
        <w:adjustRightInd w:val="0"/>
        <w:spacing w:line="360" w:lineRule="auto"/>
        <w:ind w:firstLineChars="150" w:firstLine="360"/>
        <w:jc w:val="left"/>
        <w:rPr>
          <w:sz w:val="24"/>
        </w:rPr>
      </w:pPr>
    </w:p>
    <w:p w:rsidR="009A3880" w:rsidRPr="00FC6873" w:rsidRDefault="009A3880" w:rsidP="00130A7A">
      <w:pPr>
        <w:spacing w:line="360" w:lineRule="auto"/>
        <w:ind w:firstLineChars="200" w:firstLine="480"/>
        <w:rPr>
          <w:sz w:val="24"/>
        </w:rPr>
      </w:pPr>
      <w:bookmarkStart w:id="0" w:name="_GoBack"/>
      <w:bookmarkEnd w:id="0"/>
    </w:p>
    <w:sectPr w:rsidR="009A3880" w:rsidRPr="00FC6873" w:rsidSect="00571501">
      <w:footerReference w:type="even" r:id="rId9"/>
      <w:footerReference w:type="default" r:id="rId10"/>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61" w:rsidRDefault="00320661">
      <w:r>
        <w:separator/>
      </w:r>
    </w:p>
  </w:endnote>
  <w:endnote w:type="continuationSeparator" w:id="0">
    <w:p w:rsidR="00320661" w:rsidRDefault="0032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30" w:rsidRDefault="00D3166F" w:rsidP="00240C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2E30" w:rsidRDefault="00FB2E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14" w:rsidRDefault="00CF7A09">
    <w:pPr>
      <w:pStyle w:val="a7"/>
      <w:jc w:val="center"/>
    </w:pPr>
    <w:r>
      <w:fldChar w:fldCharType="begin"/>
    </w:r>
    <w:r>
      <w:instrText>PAGE   \* MERGEFORMAT</w:instrText>
    </w:r>
    <w:r>
      <w:fldChar w:fldCharType="separate"/>
    </w:r>
    <w:r w:rsidR="007A6E9E">
      <w:rPr>
        <w:noProof/>
      </w:rPr>
      <w:t>5</w:t>
    </w:r>
    <w:r>
      <w:rPr>
        <w:noProof/>
      </w:rPr>
      <w:fldChar w:fldCharType="end"/>
    </w:r>
  </w:p>
  <w:p w:rsidR="00FB2E30" w:rsidRDefault="00FB2E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61" w:rsidRDefault="00320661">
      <w:r>
        <w:separator/>
      </w:r>
    </w:p>
  </w:footnote>
  <w:footnote w:type="continuationSeparator" w:id="0">
    <w:p w:rsidR="00320661" w:rsidRDefault="0032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nsid w:val="34CB1634"/>
    <w:multiLevelType w:val="hybridMultilevel"/>
    <w:tmpl w:val="D57452A0"/>
    <w:lvl w:ilvl="0" w:tplc="7C880A3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4">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0"/>
  </w:num>
  <w:num w:numId="3">
    <w:abstractNumId w:val="20"/>
  </w:num>
  <w:num w:numId="4">
    <w:abstractNumId w:val="20"/>
  </w:num>
  <w:num w:numId="5">
    <w:abstractNumId w:val="14"/>
  </w:num>
  <w:num w:numId="6">
    <w:abstractNumId w:val="9"/>
  </w:num>
  <w:num w:numId="7">
    <w:abstractNumId w:val="13"/>
  </w:num>
  <w:num w:numId="8">
    <w:abstractNumId w:val="13"/>
  </w:num>
  <w:num w:numId="9">
    <w:abstractNumId w:val="6"/>
  </w:num>
  <w:num w:numId="10">
    <w:abstractNumId w:val="13"/>
  </w:num>
  <w:num w:numId="11">
    <w:abstractNumId w:val="18"/>
  </w:num>
  <w:num w:numId="12">
    <w:abstractNumId w:val="9"/>
  </w:num>
  <w:num w:numId="13">
    <w:abstractNumId w:val="10"/>
  </w:num>
  <w:num w:numId="14">
    <w:abstractNumId w:val="2"/>
  </w:num>
  <w:num w:numId="15">
    <w:abstractNumId w:val="16"/>
  </w:num>
  <w:num w:numId="16">
    <w:abstractNumId w:val="4"/>
  </w:num>
  <w:num w:numId="17">
    <w:abstractNumId w:val="1"/>
  </w:num>
  <w:num w:numId="18">
    <w:abstractNumId w:val="3"/>
  </w:num>
  <w:num w:numId="19">
    <w:abstractNumId w:val="21"/>
  </w:num>
  <w:num w:numId="20">
    <w:abstractNumId w:val="19"/>
  </w:num>
  <w:num w:numId="21">
    <w:abstractNumId w:val="0"/>
  </w:num>
  <w:num w:numId="22">
    <w:abstractNumId w:val="7"/>
  </w:num>
  <w:num w:numId="23">
    <w:abstractNumId w:val="17"/>
  </w:num>
  <w:num w:numId="24">
    <w:abstractNumId w:val="8"/>
  </w:num>
  <w:num w:numId="25">
    <w:abstractNumId w:val="15"/>
  </w:num>
  <w:num w:numId="26">
    <w:abstractNumId w:val="5"/>
  </w:num>
  <w:num w:numId="27">
    <w:abstractNumId w:val="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78"/>
    <w:rsid w:val="00007292"/>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51BC"/>
    <w:rsid w:val="0005718D"/>
    <w:rsid w:val="0006276A"/>
    <w:rsid w:val="00075E74"/>
    <w:rsid w:val="00081D16"/>
    <w:rsid w:val="000821C1"/>
    <w:rsid w:val="0008483C"/>
    <w:rsid w:val="0009018C"/>
    <w:rsid w:val="000904A6"/>
    <w:rsid w:val="00091C2C"/>
    <w:rsid w:val="00093620"/>
    <w:rsid w:val="000972BD"/>
    <w:rsid w:val="000A3B8C"/>
    <w:rsid w:val="000A49B3"/>
    <w:rsid w:val="000A5462"/>
    <w:rsid w:val="000A60AB"/>
    <w:rsid w:val="000A6D6B"/>
    <w:rsid w:val="000B0C64"/>
    <w:rsid w:val="000B321D"/>
    <w:rsid w:val="000B33EF"/>
    <w:rsid w:val="000B6A0C"/>
    <w:rsid w:val="000C092D"/>
    <w:rsid w:val="000C13ED"/>
    <w:rsid w:val="000C4F26"/>
    <w:rsid w:val="000C52A4"/>
    <w:rsid w:val="000C54A4"/>
    <w:rsid w:val="000C5FA8"/>
    <w:rsid w:val="000C6EE1"/>
    <w:rsid w:val="000C722F"/>
    <w:rsid w:val="000D2754"/>
    <w:rsid w:val="000D2953"/>
    <w:rsid w:val="000D55DA"/>
    <w:rsid w:val="000D5899"/>
    <w:rsid w:val="000D5AF5"/>
    <w:rsid w:val="000D7865"/>
    <w:rsid w:val="000E3CB7"/>
    <w:rsid w:val="000F0F01"/>
    <w:rsid w:val="000F28F7"/>
    <w:rsid w:val="000F37DA"/>
    <w:rsid w:val="00100708"/>
    <w:rsid w:val="00100A5A"/>
    <w:rsid w:val="00101561"/>
    <w:rsid w:val="00103AB2"/>
    <w:rsid w:val="00104B2D"/>
    <w:rsid w:val="00110907"/>
    <w:rsid w:val="001118C2"/>
    <w:rsid w:val="00113648"/>
    <w:rsid w:val="001137AA"/>
    <w:rsid w:val="001167D6"/>
    <w:rsid w:val="00120980"/>
    <w:rsid w:val="00123814"/>
    <w:rsid w:val="00125B54"/>
    <w:rsid w:val="00130A7A"/>
    <w:rsid w:val="00136826"/>
    <w:rsid w:val="001532DC"/>
    <w:rsid w:val="00153D7F"/>
    <w:rsid w:val="001558CC"/>
    <w:rsid w:val="0015778D"/>
    <w:rsid w:val="00162B12"/>
    <w:rsid w:val="00162B7D"/>
    <w:rsid w:val="00165F00"/>
    <w:rsid w:val="0017027F"/>
    <w:rsid w:val="00171EF3"/>
    <w:rsid w:val="00172D2B"/>
    <w:rsid w:val="001776F5"/>
    <w:rsid w:val="00180386"/>
    <w:rsid w:val="00180DDB"/>
    <w:rsid w:val="00181DA2"/>
    <w:rsid w:val="001842DF"/>
    <w:rsid w:val="001A035A"/>
    <w:rsid w:val="001A047E"/>
    <w:rsid w:val="001A548B"/>
    <w:rsid w:val="001A7BBA"/>
    <w:rsid w:val="001B029A"/>
    <w:rsid w:val="001B34D7"/>
    <w:rsid w:val="001B5244"/>
    <w:rsid w:val="001B58C5"/>
    <w:rsid w:val="001B7E6C"/>
    <w:rsid w:val="001D3F45"/>
    <w:rsid w:val="001D45C4"/>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D8C"/>
    <w:rsid w:val="002840D7"/>
    <w:rsid w:val="0028724C"/>
    <w:rsid w:val="00295CE0"/>
    <w:rsid w:val="00297110"/>
    <w:rsid w:val="002A2123"/>
    <w:rsid w:val="002A4B7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305CA6"/>
    <w:rsid w:val="0030614C"/>
    <w:rsid w:val="00310C7C"/>
    <w:rsid w:val="00312F0F"/>
    <w:rsid w:val="003136AB"/>
    <w:rsid w:val="003158A3"/>
    <w:rsid w:val="00316F76"/>
    <w:rsid w:val="00320661"/>
    <w:rsid w:val="00322B04"/>
    <w:rsid w:val="00330838"/>
    <w:rsid w:val="00332036"/>
    <w:rsid w:val="00334254"/>
    <w:rsid w:val="00334BD0"/>
    <w:rsid w:val="0034124C"/>
    <w:rsid w:val="00343B8C"/>
    <w:rsid w:val="0034673A"/>
    <w:rsid w:val="00346BDE"/>
    <w:rsid w:val="00347534"/>
    <w:rsid w:val="003503A3"/>
    <w:rsid w:val="00351720"/>
    <w:rsid w:val="0035462A"/>
    <w:rsid w:val="00357381"/>
    <w:rsid w:val="00357B77"/>
    <w:rsid w:val="00370553"/>
    <w:rsid w:val="003839AC"/>
    <w:rsid w:val="003847AD"/>
    <w:rsid w:val="00385481"/>
    <w:rsid w:val="0038776B"/>
    <w:rsid w:val="003A4DF8"/>
    <w:rsid w:val="003A799B"/>
    <w:rsid w:val="003B25C2"/>
    <w:rsid w:val="003B29EF"/>
    <w:rsid w:val="003C0C98"/>
    <w:rsid w:val="003C162B"/>
    <w:rsid w:val="003C3273"/>
    <w:rsid w:val="003C4EBE"/>
    <w:rsid w:val="003D26D3"/>
    <w:rsid w:val="003D4DF0"/>
    <w:rsid w:val="003E4D4B"/>
    <w:rsid w:val="003E52B7"/>
    <w:rsid w:val="003E7AED"/>
    <w:rsid w:val="003F0360"/>
    <w:rsid w:val="003F69E9"/>
    <w:rsid w:val="003F74A9"/>
    <w:rsid w:val="0040575F"/>
    <w:rsid w:val="00406937"/>
    <w:rsid w:val="004103D0"/>
    <w:rsid w:val="00410BEF"/>
    <w:rsid w:val="004142E4"/>
    <w:rsid w:val="004168F5"/>
    <w:rsid w:val="0041764E"/>
    <w:rsid w:val="00417CE3"/>
    <w:rsid w:val="004203EA"/>
    <w:rsid w:val="004305FC"/>
    <w:rsid w:val="004363F2"/>
    <w:rsid w:val="00440022"/>
    <w:rsid w:val="00441042"/>
    <w:rsid w:val="00441897"/>
    <w:rsid w:val="00447F83"/>
    <w:rsid w:val="00454FC4"/>
    <w:rsid w:val="004560EE"/>
    <w:rsid w:val="00465FF3"/>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09E7"/>
    <w:rsid w:val="004B4DA1"/>
    <w:rsid w:val="004B5FAA"/>
    <w:rsid w:val="004B784A"/>
    <w:rsid w:val="004C217E"/>
    <w:rsid w:val="004C2B1B"/>
    <w:rsid w:val="004D0553"/>
    <w:rsid w:val="004D2BD4"/>
    <w:rsid w:val="004E1DBE"/>
    <w:rsid w:val="004E2BAE"/>
    <w:rsid w:val="004F0ECD"/>
    <w:rsid w:val="004F654A"/>
    <w:rsid w:val="004F6572"/>
    <w:rsid w:val="004F7B53"/>
    <w:rsid w:val="00500D10"/>
    <w:rsid w:val="005062B7"/>
    <w:rsid w:val="00514DCE"/>
    <w:rsid w:val="005313CD"/>
    <w:rsid w:val="00531483"/>
    <w:rsid w:val="005368D8"/>
    <w:rsid w:val="00540E95"/>
    <w:rsid w:val="005414B0"/>
    <w:rsid w:val="00542ED8"/>
    <w:rsid w:val="00543AF1"/>
    <w:rsid w:val="00545812"/>
    <w:rsid w:val="005461BF"/>
    <w:rsid w:val="00551655"/>
    <w:rsid w:val="00551BEA"/>
    <w:rsid w:val="00552AB8"/>
    <w:rsid w:val="005546E4"/>
    <w:rsid w:val="0055512A"/>
    <w:rsid w:val="00561A0B"/>
    <w:rsid w:val="00571501"/>
    <w:rsid w:val="00571833"/>
    <w:rsid w:val="00573DC8"/>
    <w:rsid w:val="00573EA6"/>
    <w:rsid w:val="005804DF"/>
    <w:rsid w:val="00585125"/>
    <w:rsid w:val="00585DB3"/>
    <w:rsid w:val="00586BB1"/>
    <w:rsid w:val="005910CF"/>
    <w:rsid w:val="0059395B"/>
    <w:rsid w:val="005939BC"/>
    <w:rsid w:val="00597A21"/>
    <w:rsid w:val="005A6DEC"/>
    <w:rsid w:val="005B0D3E"/>
    <w:rsid w:val="005B643F"/>
    <w:rsid w:val="005B6E18"/>
    <w:rsid w:val="005C23FE"/>
    <w:rsid w:val="005C4C52"/>
    <w:rsid w:val="005C54EA"/>
    <w:rsid w:val="005C64BE"/>
    <w:rsid w:val="005D29EE"/>
    <w:rsid w:val="005D3B3F"/>
    <w:rsid w:val="005D7493"/>
    <w:rsid w:val="005D7CF9"/>
    <w:rsid w:val="005D7D0A"/>
    <w:rsid w:val="005E0E4B"/>
    <w:rsid w:val="005E1A67"/>
    <w:rsid w:val="005E28A8"/>
    <w:rsid w:val="005E35CA"/>
    <w:rsid w:val="005E46A2"/>
    <w:rsid w:val="005E70F3"/>
    <w:rsid w:val="005E76A2"/>
    <w:rsid w:val="005F0C8F"/>
    <w:rsid w:val="005F0E60"/>
    <w:rsid w:val="005F2B73"/>
    <w:rsid w:val="005F5DFF"/>
    <w:rsid w:val="00606701"/>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5130D"/>
    <w:rsid w:val="00651CC8"/>
    <w:rsid w:val="0065723D"/>
    <w:rsid w:val="00663634"/>
    <w:rsid w:val="00663ED6"/>
    <w:rsid w:val="0066671F"/>
    <w:rsid w:val="006739D0"/>
    <w:rsid w:val="00677476"/>
    <w:rsid w:val="006818F1"/>
    <w:rsid w:val="006868C6"/>
    <w:rsid w:val="00686F04"/>
    <w:rsid w:val="00691EDF"/>
    <w:rsid w:val="00697C00"/>
    <w:rsid w:val="006A04D4"/>
    <w:rsid w:val="006A4A47"/>
    <w:rsid w:val="006A5337"/>
    <w:rsid w:val="006B3846"/>
    <w:rsid w:val="006C0E0E"/>
    <w:rsid w:val="006C475D"/>
    <w:rsid w:val="006D01D2"/>
    <w:rsid w:val="006D3BD3"/>
    <w:rsid w:val="006D6519"/>
    <w:rsid w:val="006E0DB3"/>
    <w:rsid w:val="006E1779"/>
    <w:rsid w:val="006E2225"/>
    <w:rsid w:val="006E2AD8"/>
    <w:rsid w:val="006E36D0"/>
    <w:rsid w:val="006E7A13"/>
    <w:rsid w:val="006F525D"/>
    <w:rsid w:val="006F66E5"/>
    <w:rsid w:val="006F7D6D"/>
    <w:rsid w:val="007014B8"/>
    <w:rsid w:val="00701C39"/>
    <w:rsid w:val="0070727C"/>
    <w:rsid w:val="00710733"/>
    <w:rsid w:val="00710F09"/>
    <w:rsid w:val="0071372D"/>
    <w:rsid w:val="007139C5"/>
    <w:rsid w:val="00714F31"/>
    <w:rsid w:val="007205B2"/>
    <w:rsid w:val="00725AAA"/>
    <w:rsid w:val="00726F2A"/>
    <w:rsid w:val="00727D1C"/>
    <w:rsid w:val="0073355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603F"/>
    <w:rsid w:val="007966F9"/>
    <w:rsid w:val="00796F8C"/>
    <w:rsid w:val="007A0B9C"/>
    <w:rsid w:val="007A639C"/>
    <w:rsid w:val="007A6E9E"/>
    <w:rsid w:val="007B0F78"/>
    <w:rsid w:val="007B1880"/>
    <w:rsid w:val="007C18D2"/>
    <w:rsid w:val="007C63E1"/>
    <w:rsid w:val="007C6709"/>
    <w:rsid w:val="007D1871"/>
    <w:rsid w:val="007D7981"/>
    <w:rsid w:val="007E06C2"/>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740E"/>
    <w:rsid w:val="0085058E"/>
    <w:rsid w:val="00851589"/>
    <w:rsid w:val="00860D6C"/>
    <w:rsid w:val="00864719"/>
    <w:rsid w:val="00866FDC"/>
    <w:rsid w:val="00867278"/>
    <w:rsid w:val="00870949"/>
    <w:rsid w:val="00871571"/>
    <w:rsid w:val="008718FA"/>
    <w:rsid w:val="00871E06"/>
    <w:rsid w:val="008759F7"/>
    <w:rsid w:val="00875B82"/>
    <w:rsid w:val="00882D02"/>
    <w:rsid w:val="00882FE6"/>
    <w:rsid w:val="00884B14"/>
    <w:rsid w:val="00885A18"/>
    <w:rsid w:val="00886292"/>
    <w:rsid w:val="008862F2"/>
    <w:rsid w:val="0089462F"/>
    <w:rsid w:val="00894ADA"/>
    <w:rsid w:val="00895D07"/>
    <w:rsid w:val="00896DC9"/>
    <w:rsid w:val="008A2BA7"/>
    <w:rsid w:val="008A57C4"/>
    <w:rsid w:val="008A5E72"/>
    <w:rsid w:val="008A62A6"/>
    <w:rsid w:val="008A7CC2"/>
    <w:rsid w:val="008B0C9E"/>
    <w:rsid w:val="008B23D1"/>
    <w:rsid w:val="008B3998"/>
    <w:rsid w:val="008B3DA6"/>
    <w:rsid w:val="008B63D1"/>
    <w:rsid w:val="008B76F1"/>
    <w:rsid w:val="008C06BC"/>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905FA2"/>
    <w:rsid w:val="00913FA7"/>
    <w:rsid w:val="009143BC"/>
    <w:rsid w:val="00914C06"/>
    <w:rsid w:val="00916EDE"/>
    <w:rsid w:val="0092671F"/>
    <w:rsid w:val="009274F1"/>
    <w:rsid w:val="00945F53"/>
    <w:rsid w:val="00950FA2"/>
    <w:rsid w:val="00951346"/>
    <w:rsid w:val="00952ACA"/>
    <w:rsid w:val="00955EA4"/>
    <w:rsid w:val="0095709F"/>
    <w:rsid w:val="00963E81"/>
    <w:rsid w:val="00970069"/>
    <w:rsid w:val="00970BD7"/>
    <w:rsid w:val="0097301C"/>
    <w:rsid w:val="00974C0B"/>
    <w:rsid w:val="009763BE"/>
    <w:rsid w:val="00977D3B"/>
    <w:rsid w:val="00980D41"/>
    <w:rsid w:val="00981B8B"/>
    <w:rsid w:val="009857A4"/>
    <w:rsid w:val="00987CB3"/>
    <w:rsid w:val="009A1357"/>
    <w:rsid w:val="009A1B87"/>
    <w:rsid w:val="009A1D7E"/>
    <w:rsid w:val="009A3880"/>
    <w:rsid w:val="009A5FAE"/>
    <w:rsid w:val="009B4453"/>
    <w:rsid w:val="009B5114"/>
    <w:rsid w:val="009B5615"/>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33C0"/>
    <w:rsid w:val="00A053B6"/>
    <w:rsid w:val="00A10FFA"/>
    <w:rsid w:val="00A11A40"/>
    <w:rsid w:val="00A205A6"/>
    <w:rsid w:val="00A22BC9"/>
    <w:rsid w:val="00A230A3"/>
    <w:rsid w:val="00A2788E"/>
    <w:rsid w:val="00A27F7E"/>
    <w:rsid w:val="00A3088C"/>
    <w:rsid w:val="00A31C34"/>
    <w:rsid w:val="00A359C7"/>
    <w:rsid w:val="00A41059"/>
    <w:rsid w:val="00A44327"/>
    <w:rsid w:val="00A45645"/>
    <w:rsid w:val="00A46DEC"/>
    <w:rsid w:val="00A50A6E"/>
    <w:rsid w:val="00A541AC"/>
    <w:rsid w:val="00A546AE"/>
    <w:rsid w:val="00A54B64"/>
    <w:rsid w:val="00A55F9D"/>
    <w:rsid w:val="00A560E9"/>
    <w:rsid w:val="00A57189"/>
    <w:rsid w:val="00A6056A"/>
    <w:rsid w:val="00A645E8"/>
    <w:rsid w:val="00A65901"/>
    <w:rsid w:val="00A6755C"/>
    <w:rsid w:val="00A75331"/>
    <w:rsid w:val="00A913AD"/>
    <w:rsid w:val="00A93BBE"/>
    <w:rsid w:val="00A957C8"/>
    <w:rsid w:val="00A95A3C"/>
    <w:rsid w:val="00A96557"/>
    <w:rsid w:val="00AA2BC5"/>
    <w:rsid w:val="00AA4E8C"/>
    <w:rsid w:val="00AB3B11"/>
    <w:rsid w:val="00AC5642"/>
    <w:rsid w:val="00AC6793"/>
    <w:rsid w:val="00AD3642"/>
    <w:rsid w:val="00AD69E1"/>
    <w:rsid w:val="00AE047D"/>
    <w:rsid w:val="00AF2061"/>
    <w:rsid w:val="00AF5526"/>
    <w:rsid w:val="00AF559D"/>
    <w:rsid w:val="00B0451B"/>
    <w:rsid w:val="00B165B3"/>
    <w:rsid w:val="00B22538"/>
    <w:rsid w:val="00B25566"/>
    <w:rsid w:val="00B25BB4"/>
    <w:rsid w:val="00B3220B"/>
    <w:rsid w:val="00B37975"/>
    <w:rsid w:val="00B4244E"/>
    <w:rsid w:val="00B51FEC"/>
    <w:rsid w:val="00B556EB"/>
    <w:rsid w:val="00B574F5"/>
    <w:rsid w:val="00B62C31"/>
    <w:rsid w:val="00B643CD"/>
    <w:rsid w:val="00B733AC"/>
    <w:rsid w:val="00B872B6"/>
    <w:rsid w:val="00B8742B"/>
    <w:rsid w:val="00B907C8"/>
    <w:rsid w:val="00B94282"/>
    <w:rsid w:val="00B945DC"/>
    <w:rsid w:val="00B95E79"/>
    <w:rsid w:val="00BA2EC6"/>
    <w:rsid w:val="00BA674C"/>
    <w:rsid w:val="00BA6F0E"/>
    <w:rsid w:val="00BB190D"/>
    <w:rsid w:val="00BB48DC"/>
    <w:rsid w:val="00BB6B5B"/>
    <w:rsid w:val="00BB6C66"/>
    <w:rsid w:val="00BC2526"/>
    <w:rsid w:val="00BD0976"/>
    <w:rsid w:val="00BD4094"/>
    <w:rsid w:val="00BD674B"/>
    <w:rsid w:val="00BD6A0C"/>
    <w:rsid w:val="00BD790C"/>
    <w:rsid w:val="00BE3C30"/>
    <w:rsid w:val="00BE62D1"/>
    <w:rsid w:val="00BF3D9F"/>
    <w:rsid w:val="00BF3E5C"/>
    <w:rsid w:val="00BF6EDA"/>
    <w:rsid w:val="00C0088F"/>
    <w:rsid w:val="00C019A5"/>
    <w:rsid w:val="00C074F8"/>
    <w:rsid w:val="00C10A8A"/>
    <w:rsid w:val="00C1246C"/>
    <w:rsid w:val="00C1759D"/>
    <w:rsid w:val="00C23256"/>
    <w:rsid w:val="00C23D88"/>
    <w:rsid w:val="00C2726D"/>
    <w:rsid w:val="00C34E8E"/>
    <w:rsid w:val="00C36579"/>
    <w:rsid w:val="00C451DC"/>
    <w:rsid w:val="00C45907"/>
    <w:rsid w:val="00C45F53"/>
    <w:rsid w:val="00C47DCA"/>
    <w:rsid w:val="00C50A2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FCE"/>
    <w:rsid w:val="00C85182"/>
    <w:rsid w:val="00C96429"/>
    <w:rsid w:val="00CA0108"/>
    <w:rsid w:val="00CA1E94"/>
    <w:rsid w:val="00CA1EDB"/>
    <w:rsid w:val="00CA3D3D"/>
    <w:rsid w:val="00CA3FC1"/>
    <w:rsid w:val="00CB09EB"/>
    <w:rsid w:val="00CB155C"/>
    <w:rsid w:val="00CB40F2"/>
    <w:rsid w:val="00CB60B6"/>
    <w:rsid w:val="00CC1F13"/>
    <w:rsid w:val="00CC57A2"/>
    <w:rsid w:val="00CC67D9"/>
    <w:rsid w:val="00CD3407"/>
    <w:rsid w:val="00CD345A"/>
    <w:rsid w:val="00CE74AE"/>
    <w:rsid w:val="00CF34CA"/>
    <w:rsid w:val="00CF3F82"/>
    <w:rsid w:val="00CF4EF4"/>
    <w:rsid w:val="00CF6019"/>
    <w:rsid w:val="00CF7A09"/>
    <w:rsid w:val="00D022BA"/>
    <w:rsid w:val="00D03199"/>
    <w:rsid w:val="00D11652"/>
    <w:rsid w:val="00D1203D"/>
    <w:rsid w:val="00D134BA"/>
    <w:rsid w:val="00D13520"/>
    <w:rsid w:val="00D1522F"/>
    <w:rsid w:val="00D16706"/>
    <w:rsid w:val="00D16B31"/>
    <w:rsid w:val="00D21339"/>
    <w:rsid w:val="00D23CBD"/>
    <w:rsid w:val="00D24903"/>
    <w:rsid w:val="00D3166F"/>
    <w:rsid w:val="00D34428"/>
    <w:rsid w:val="00D35D5E"/>
    <w:rsid w:val="00D35E77"/>
    <w:rsid w:val="00D4086F"/>
    <w:rsid w:val="00D410CC"/>
    <w:rsid w:val="00D435D1"/>
    <w:rsid w:val="00D43622"/>
    <w:rsid w:val="00D44743"/>
    <w:rsid w:val="00D47DFE"/>
    <w:rsid w:val="00D50582"/>
    <w:rsid w:val="00D621C3"/>
    <w:rsid w:val="00D628B8"/>
    <w:rsid w:val="00D63DFB"/>
    <w:rsid w:val="00D67BE7"/>
    <w:rsid w:val="00D7196A"/>
    <w:rsid w:val="00D7619B"/>
    <w:rsid w:val="00D768A4"/>
    <w:rsid w:val="00D82EAF"/>
    <w:rsid w:val="00D83985"/>
    <w:rsid w:val="00D843A3"/>
    <w:rsid w:val="00D855F1"/>
    <w:rsid w:val="00D91CAC"/>
    <w:rsid w:val="00DA15D7"/>
    <w:rsid w:val="00DA2265"/>
    <w:rsid w:val="00DA3F6A"/>
    <w:rsid w:val="00DA5E38"/>
    <w:rsid w:val="00DB0B51"/>
    <w:rsid w:val="00DB4E25"/>
    <w:rsid w:val="00DB5131"/>
    <w:rsid w:val="00DB592D"/>
    <w:rsid w:val="00DB663B"/>
    <w:rsid w:val="00DB7200"/>
    <w:rsid w:val="00DC2CF7"/>
    <w:rsid w:val="00DC5C92"/>
    <w:rsid w:val="00DD041C"/>
    <w:rsid w:val="00DD0541"/>
    <w:rsid w:val="00DD4160"/>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100A2"/>
    <w:rsid w:val="00E10E77"/>
    <w:rsid w:val="00E16264"/>
    <w:rsid w:val="00E20BB3"/>
    <w:rsid w:val="00E307F0"/>
    <w:rsid w:val="00E31A40"/>
    <w:rsid w:val="00E32D0C"/>
    <w:rsid w:val="00E33A0F"/>
    <w:rsid w:val="00E3592C"/>
    <w:rsid w:val="00E404E5"/>
    <w:rsid w:val="00E4254A"/>
    <w:rsid w:val="00E42E76"/>
    <w:rsid w:val="00E4319B"/>
    <w:rsid w:val="00E446B5"/>
    <w:rsid w:val="00E47212"/>
    <w:rsid w:val="00E5070A"/>
    <w:rsid w:val="00E51594"/>
    <w:rsid w:val="00E5207B"/>
    <w:rsid w:val="00E54B53"/>
    <w:rsid w:val="00E54C0E"/>
    <w:rsid w:val="00E57F16"/>
    <w:rsid w:val="00E63A39"/>
    <w:rsid w:val="00E64C7A"/>
    <w:rsid w:val="00E65650"/>
    <w:rsid w:val="00E679D5"/>
    <w:rsid w:val="00E75CE7"/>
    <w:rsid w:val="00E853FF"/>
    <w:rsid w:val="00EA32E6"/>
    <w:rsid w:val="00EA60A1"/>
    <w:rsid w:val="00EA6571"/>
    <w:rsid w:val="00EA7914"/>
    <w:rsid w:val="00EA7F74"/>
    <w:rsid w:val="00EB0CE3"/>
    <w:rsid w:val="00EB202D"/>
    <w:rsid w:val="00EB4F0E"/>
    <w:rsid w:val="00EB5902"/>
    <w:rsid w:val="00EB793D"/>
    <w:rsid w:val="00EB7EA8"/>
    <w:rsid w:val="00EC003B"/>
    <w:rsid w:val="00EC2D04"/>
    <w:rsid w:val="00EC4C6A"/>
    <w:rsid w:val="00EC783E"/>
    <w:rsid w:val="00EE1521"/>
    <w:rsid w:val="00EE1DA5"/>
    <w:rsid w:val="00EE552F"/>
    <w:rsid w:val="00EE5DD0"/>
    <w:rsid w:val="00EE6331"/>
    <w:rsid w:val="00EE77DA"/>
    <w:rsid w:val="00EF1FEF"/>
    <w:rsid w:val="00EF461C"/>
    <w:rsid w:val="00F149AC"/>
    <w:rsid w:val="00F16195"/>
    <w:rsid w:val="00F16584"/>
    <w:rsid w:val="00F17D0F"/>
    <w:rsid w:val="00F200A4"/>
    <w:rsid w:val="00F21381"/>
    <w:rsid w:val="00F23237"/>
    <w:rsid w:val="00F2333D"/>
    <w:rsid w:val="00F356F9"/>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70D53"/>
    <w:rsid w:val="00F7257A"/>
    <w:rsid w:val="00F7335B"/>
    <w:rsid w:val="00F76419"/>
    <w:rsid w:val="00F778F5"/>
    <w:rsid w:val="00F83A13"/>
    <w:rsid w:val="00F85A23"/>
    <w:rsid w:val="00F90A22"/>
    <w:rsid w:val="00F91411"/>
    <w:rsid w:val="00FB0DE6"/>
    <w:rsid w:val="00FB2E30"/>
    <w:rsid w:val="00FB5A43"/>
    <w:rsid w:val="00FB6159"/>
    <w:rsid w:val="00FC4500"/>
    <w:rsid w:val="00FC6873"/>
    <w:rsid w:val="00FD61FB"/>
    <w:rsid w:val="00FD7ED7"/>
    <w:rsid w:val="00FE1297"/>
    <w:rsid w:val="00FE3BAD"/>
    <w:rsid w:val="00FE3CF9"/>
    <w:rsid w:val="00FF1020"/>
    <w:rsid w:val="00FF2F97"/>
    <w:rsid w:val="00FF3206"/>
    <w:rsid w:val="00FF725E"/>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6F"/>
    <w:pPr>
      <w:widowControl w:val="0"/>
      <w:jc w:val="both"/>
    </w:pPr>
    <w:rPr>
      <w:kern w:val="2"/>
      <w:sz w:val="21"/>
      <w:szCs w:val="24"/>
    </w:rPr>
  </w:style>
  <w:style w:type="paragraph" w:styleId="1">
    <w:name w:val="heading 1"/>
    <w:basedOn w:val="a0"/>
    <w:next w:val="a"/>
    <w:qFormat/>
    <w:rsid w:val="00D3166F"/>
    <w:pPr>
      <w:keepNext/>
      <w:keepLines/>
      <w:numPr>
        <w:numId w:val="14"/>
      </w:numPr>
      <w:spacing w:before="340" w:after="330"/>
    </w:pPr>
    <w:rPr>
      <w:bCs w:val="0"/>
      <w:kern w:val="44"/>
      <w:sz w:val="28"/>
      <w:szCs w:val="44"/>
    </w:rPr>
  </w:style>
  <w:style w:type="paragraph" w:styleId="2">
    <w:name w:val="heading 2"/>
    <w:basedOn w:val="a0"/>
    <w:next w:val="a"/>
    <w:qFormat/>
    <w:rsid w:val="00D3166F"/>
    <w:pPr>
      <w:keepNext/>
      <w:keepLines/>
      <w:spacing w:before="260" w:after="260"/>
      <w:jc w:val="left"/>
      <w:outlineLvl w:val="1"/>
    </w:pPr>
    <w:rPr>
      <w:bCs w:val="0"/>
      <w:sz w:val="24"/>
    </w:rPr>
  </w:style>
  <w:style w:type="paragraph" w:styleId="3">
    <w:name w:val="heading 3"/>
    <w:basedOn w:val="a0"/>
    <w:next w:val="a"/>
    <w:qFormat/>
    <w:rsid w:val="00D3166F"/>
    <w:pPr>
      <w:keepNext/>
      <w:keepLines/>
      <w:spacing w:before="260" w:after="260"/>
      <w:jc w:val="left"/>
      <w:outlineLvl w:val="2"/>
    </w:pPr>
    <w:rPr>
      <w:bCs w:val="0"/>
      <w:sz w:val="21"/>
    </w:rPr>
  </w:style>
  <w:style w:type="paragraph" w:styleId="4">
    <w:name w:val="heading 4"/>
    <w:basedOn w:val="a0"/>
    <w:next w:val="a"/>
    <w:qFormat/>
    <w:rsid w:val="00D3166F"/>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rsid w:val="00D3166F"/>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rsid w:val="00D3166F"/>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D3166F"/>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rsid w:val="00D3166F"/>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D3166F"/>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D3166F"/>
    <w:pPr>
      <w:spacing w:before="240" w:after="60"/>
      <w:jc w:val="center"/>
      <w:outlineLvl w:val="0"/>
    </w:pPr>
    <w:rPr>
      <w:rFonts w:ascii="Arial" w:hAnsi="Arial" w:cs="Arial"/>
      <w:b/>
      <w:bCs/>
      <w:sz w:val="32"/>
      <w:szCs w:val="32"/>
    </w:rPr>
  </w:style>
  <w:style w:type="paragraph" w:styleId="a4">
    <w:name w:val="Body Text Indent"/>
    <w:basedOn w:val="a"/>
    <w:rsid w:val="00D3166F"/>
    <w:pPr>
      <w:ind w:firstLineChars="200" w:firstLine="560"/>
    </w:pPr>
    <w:rPr>
      <w:rFonts w:ascii="仿宋_GB2312" w:eastAsia="仿宋_GB2312"/>
      <w:sz w:val="28"/>
    </w:rPr>
  </w:style>
  <w:style w:type="paragraph" w:styleId="a5">
    <w:name w:val="footnote text"/>
    <w:basedOn w:val="a"/>
    <w:semiHidden/>
    <w:rsid w:val="00D3166F"/>
    <w:pPr>
      <w:snapToGrid w:val="0"/>
      <w:jc w:val="left"/>
    </w:pPr>
    <w:rPr>
      <w:sz w:val="18"/>
      <w:szCs w:val="18"/>
    </w:rPr>
  </w:style>
  <w:style w:type="character" w:styleId="a6">
    <w:name w:val="footnote reference"/>
    <w:semiHidden/>
    <w:rsid w:val="00D3166F"/>
    <w:rPr>
      <w:vertAlign w:val="superscript"/>
    </w:rPr>
  </w:style>
  <w:style w:type="paragraph" w:styleId="a7">
    <w:name w:val="footer"/>
    <w:basedOn w:val="a"/>
    <w:link w:val="Char"/>
    <w:uiPriority w:val="99"/>
    <w:rsid w:val="00D3166F"/>
    <w:pPr>
      <w:tabs>
        <w:tab w:val="center" w:pos="4153"/>
        <w:tab w:val="right" w:pos="8306"/>
      </w:tabs>
      <w:snapToGrid w:val="0"/>
      <w:jc w:val="left"/>
    </w:pPr>
    <w:rPr>
      <w:sz w:val="18"/>
      <w:szCs w:val="18"/>
    </w:rPr>
  </w:style>
  <w:style w:type="character" w:styleId="a8">
    <w:name w:val="page number"/>
    <w:basedOn w:val="a1"/>
    <w:rsid w:val="00D3166F"/>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227288"/>
    <w:pPr>
      <w:ind w:leftChars="2500" w:left="100"/>
    </w:pPr>
  </w:style>
  <w:style w:type="paragraph" w:styleId="ac">
    <w:name w:val="Normal (Web)"/>
    <w:basedOn w:val="a"/>
    <w:uiPriority w:val="99"/>
    <w:rsid w:val="00227288"/>
    <w:pPr>
      <w:widowControl/>
      <w:spacing w:before="100" w:beforeAutospacing="1" w:after="100" w:afterAutospacing="1"/>
      <w:jc w:val="left"/>
    </w:pPr>
    <w:rPr>
      <w:rFonts w:ascii="宋体" w:hAnsi="宋体" w:cs="宋体"/>
      <w:kern w:val="0"/>
      <w:sz w:val="24"/>
    </w:rPr>
  </w:style>
  <w:style w:type="paragraph" w:styleId="30">
    <w:name w:val="List 3"/>
    <w:basedOn w:val="a"/>
    <w:rsid w:val="00227288"/>
    <w:pPr>
      <w:ind w:leftChars="400" w:left="100" w:hangingChars="200" w:hanging="200"/>
    </w:pPr>
  </w:style>
  <w:style w:type="character" w:customStyle="1" w:styleId="Char">
    <w:name w:val="页脚 Char"/>
    <w:link w:val="a7"/>
    <w:uiPriority w:val="99"/>
    <w:rsid w:val="0034673A"/>
    <w:rPr>
      <w:rFonts w:eastAsia="宋体"/>
      <w:kern w:val="2"/>
      <w:sz w:val="18"/>
      <w:szCs w:val="18"/>
      <w:lang w:val="en-US" w:eastAsia="zh-CN" w:bidi="ar-SA"/>
    </w:rPr>
  </w:style>
  <w:style w:type="paragraph" w:customStyle="1" w:styleId="Default">
    <w:name w:val="Default"/>
    <w:rsid w:val="001A047E"/>
    <w:pPr>
      <w:widowControl w:val="0"/>
      <w:autoSpaceDE w:val="0"/>
      <w:autoSpaceDN w:val="0"/>
      <w:adjustRightInd w:val="0"/>
    </w:pPr>
    <w:rPr>
      <w:rFonts w:ascii="宋体" w:hAnsi="Calibri" w:cs="宋体"/>
      <w:color w:val="000000"/>
      <w:sz w:val="24"/>
      <w:szCs w:val="24"/>
    </w:rPr>
  </w:style>
  <w:style w:type="paragraph" w:styleId="10">
    <w:name w:val="toc 1"/>
    <w:basedOn w:val="a"/>
    <w:next w:val="a"/>
    <w:autoRedefine/>
    <w:rsid w:val="006D3BD3"/>
    <w:rPr>
      <w:szCs w:val="20"/>
    </w:rPr>
  </w:style>
  <w:style w:type="paragraph" w:customStyle="1" w:styleId="CharChar">
    <w:name w:val="Char Char"/>
    <w:basedOn w:val="a"/>
    <w:autoRedefine/>
    <w:rsid w:val="007739C8"/>
    <w:pPr>
      <w:tabs>
        <w:tab w:val="num" w:pos="1500"/>
      </w:tabs>
      <w:spacing w:line="360" w:lineRule="auto"/>
      <w:ind w:left="1500" w:firstLineChars="200" w:firstLine="480"/>
    </w:pPr>
    <w:rPr>
      <w:sz w:val="24"/>
    </w:rPr>
  </w:style>
  <w:style w:type="paragraph" w:styleId="ad">
    <w:name w:val="List Paragraph"/>
    <w:basedOn w:val="a"/>
    <w:uiPriority w:val="34"/>
    <w:qFormat/>
    <w:rsid w:val="007739C8"/>
    <w:pPr>
      <w:ind w:firstLineChars="200" w:firstLine="420"/>
    </w:pPr>
    <w:rPr>
      <w:sz w:val="28"/>
    </w:rPr>
  </w:style>
  <w:style w:type="paragraph" w:styleId="ae">
    <w:name w:val="Revision"/>
    <w:hidden/>
    <w:uiPriority w:val="99"/>
    <w:semiHidden/>
    <w:rsid w:val="008E17C2"/>
    <w:rPr>
      <w:kern w:val="2"/>
      <w:sz w:val="21"/>
      <w:szCs w:val="24"/>
    </w:rPr>
  </w:style>
  <w:style w:type="character" w:styleId="af">
    <w:name w:val="annotation reference"/>
    <w:rsid w:val="00B62C31"/>
    <w:rPr>
      <w:sz w:val="21"/>
      <w:szCs w:val="21"/>
    </w:rPr>
  </w:style>
  <w:style w:type="paragraph" w:styleId="af0">
    <w:name w:val="annotation text"/>
    <w:basedOn w:val="a"/>
    <w:link w:val="Char0"/>
    <w:rsid w:val="00B62C31"/>
    <w:pPr>
      <w:jc w:val="left"/>
    </w:pPr>
  </w:style>
  <w:style w:type="character" w:customStyle="1" w:styleId="Char0">
    <w:name w:val="批注文字 Char"/>
    <w:link w:val="af0"/>
    <w:rsid w:val="00B62C31"/>
    <w:rPr>
      <w:kern w:val="2"/>
      <w:sz w:val="21"/>
      <w:szCs w:val="24"/>
    </w:rPr>
  </w:style>
  <w:style w:type="paragraph" w:styleId="af1">
    <w:name w:val="annotation subject"/>
    <w:basedOn w:val="af0"/>
    <w:next w:val="af0"/>
    <w:link w:val="Char1"/>
    <w:rsid w:val="00B62C31"/>
    <w:rPr>
      <w:b/>
      <w:bCs/>
    </w:rPr>
  </w:style>
  <w:style w:type="character" w:customStyle="1" w:styleId="Char1">
    <w:name w:val="批注主题 Char"/>
    <w:link w:val="af1"/>
    <w:rsid w:val="00B62C31"/>
    <w:rPr>
      <w:b/>
      <w:bCs/>
      <w:kern w:val="2"/>
      <w:sz w:val="21"/>
      <w:szCs w:val="24"/>
    </w:rPr>
  </w:style>
  <w:style w:type="character" w:styleId="af2">
    <w:name w:val="Hyperlink"/>
    <w:basedOn w:val="a1"/>
    <w:rsid w:val="00686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CD07-01CD-471F-9B93-C2BE9B52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1518</Words>
  <Characters>8657</Characters>
  <Application>Microsoft Office Word</Application>
  <DocSecurity>0</DocSecurity>
  <Lines>72</Lines>
  <Paragraphs>20</Paragraphs>
  <ScaleCrop>false</ScaleCrop>
  <Company>COMMONORG</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MTS-20150320</cp:lastModifiedBy>
  <cp:revision>36</cp:revision>
  <cp:lastPrinted>2019-04-24T07:31:00Z</cp:lastPrinted>
  <dcterms:created xsi:type="dcterms:W3CDTF">2019-04-22T07:57:00Z</dcterms:created>
  <dcterms:modified xsi:type="dcterms:W3CDTF">2019-05-21T07:51:00Z</dcterms:modified>
</cp:coreProperties>
</file>