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77C9" w:rsidRPr="00D47F8C" w:rsidRDefault="009B77C9" w:rsidP="009B77C9">
      <w:pPr>
        <w:spacing w:line="500" w:lineRule="exact"/>
        <w:rPr>
          <w:b/>
          <w:sz w:val="24"/>
          <w:szCs w:val="24"/>
        </w:rPr>
      </w:pPr>
      <w:r w:rsidRPr="00D47F8C">
        <w:rPr>
          <w:b/>
          <w:sz w:val="24"/>
          <w:szCs w:val="24"/>
        </w:rPr>
        <w:t xml:space="preserve">Code of A shares: 601166    Abbreviation of </w:t>
      </w:r>
      <w:proofErr w:type="gramStart"/>
      <w:r w:rsidRPr="00D47F8C">
        <w:rPr>
          <w:b/>
          <w:sz w:val="24"/>
          <w:szCs w:val="24"/>
        </w:rPr>
        <w:t>A</w:t>
      </w:r>
      <w:proofErr w:type="gramEnd"/>
      <w:r w:rsidRPr="00D47F8C">
        <w:rPr>
          <w:b/>
          <w:sz w:val="24"/>
          <w:szCs w:val="24"/>
        </w:rPr>
        <w:t xml:space="preserve"> Shares: Industrial Bank   Code: TEMP </w:t>
      </w:r>
      <w:r w:rsidRPr="00310B89">
        <w:rPr>
          <w:b/>
          <w:sz w:val="24"/>
          <w:szCs w:val="24"/>
        </w:rPr>
        <w:t>2021-001</w:t>
      </w:r>
    </w:p>
    <w:p w:rsidR="009B77C9" w:rsidRPr="00D47F8C" w:rsidRDefault="009B77C9" w:rsidP="009B77C9">
      <w:pPr>
        <w:spacing w:line="500" w:lineRule="exact"/>
        <w:ind w:leftChars="-50" w:left="-105"/>
        <w:rPr>
          <w:b/>
          <w:sz w:val="24"/>
          <w:szCs w:val="24"/>
        </w:rPr>
      </w:pPr>
      <w:r w:rsidRPr="00D47F8C">
        <w:rPr>
          <w:b/>
          <w:sz w:val="24"/>
          <w:szCs w:val="24"/>
        </w:rPr>
        <w:t xml:space="preserve">Code of Preferred Stock: 360005, 360012, </w:t>
      </w:r>
      <w:proofErr w:type="gramStart"/>
      <w:r w:rsidRPr="00D47F8C">
        <w:rPr>
          <w:b/>
          <w:sz w:val="24"/>
          <w:szCs w:val="24"/>
        </w:rPr>
        <w:t>360032</w:t>
      </w:r>
      <w:proofErr w:type="gramEnd"/>
      <w:r w:rsidRPr="00D47F8C">
        <w:rPr>
          <w:b/>
          <w:sz w:val="24"/>
          <w:szCs w:val="24"/>
        </w:rPr>
        <w:t xml:space="preserve">        Abbreviation of Preferred Stock: Industrial Preferred 1, Industrial Preferred 2, Industrial Preferred 3</w:t>
      </w:r>
    </w:p>
    <w:p w:rsidR="00E52B3A" w:rsidRPr="00D47F8C" w:rsidRDefault="00E52B3A">
      <w:pPr>
        <w:pStyle w:val="a7"/>
        <w:adjustRightInd w:val="0"/>
        <w:snapToGrid w:val="0"/>
        <w:spacing w:before="0" w:beforeAutospacing="0" w:after="0" w:afterAutospacing="0"/>
        <w:rPr>
          <w:rFonts w:ascii="Times New Roman" w:hAnsi="Times New Roman" w:cs="Times New Roman"/>
          <w:color w:val="000000"/>
          <w:kern w:val="2"/>
          <w:szCs w:val="20"/>
        </w:rPr>
      </w:pPr>
    </w:p>
    <w:p w:rsidR="009B77C9" w:rsidRPr="00D47F8C" w:rsidRDefault="009B77C9" w:rsidP="009B77C9">
      <w:pPr>
        <w:widowControl/>
        <w:ind w:left="11" w:hanging="11"/>
        <w:jc w:val="center"/>
        <w:rPr>
          <w:rFonts w:eastAsia="黑体"/>
          <w:color w:val="FF0000"/>
          <w:sz w:val="36"/>
          <w:szCs w:val="22"/>
        </w:rPr>
      </w:pPr>
      <w:r w:rsidRPr="00D47F8C">
        <w:rPr>
          <w:color w:val="FF0000"/>
          <w:sz w:val="36"/>
          <w:szCs w:val="22"/>
        </w:rPr>
        <w:t>Industrial Bank Co., Ltd.</w:t>
      </w:r>
    </w:p>
    <w:p w:rsidR="009B77C9" w:rsidRPr="00D47F8C" w:rsidRDefault="009B77C9">
      <w:pPr>
        <w:widowControl/>
        <w:ind w:left="11" w:hanging="11"/>
        <w:jc w:val="center"/>
        <w:rPr>
          <w:rFonts w:eastAsia="黑体"/>
          <w:color w:val="FF0000"/>
          <w:sz w:val="36"/>
          <w:szCs w:val="22"/>
        </w:rPr>
      </w:pPr>
      <w:r w:rsidRPr="00D47F8C">
        <w:rPr>
          <w:color w:val="FF0000"/>
          <w:sz w:val="36"/>
          <w:szCs w:val="22"/>
        </w:rPr>
        <w:t xml:space="preserve">Announcement on </w:t>
      </w:r>
      <w:r w:rsidRPr="00D47F8C">
        <w:rPr>
          <w:color w:val="FF0000"/>
          <w:sz w:val="36"/>
          <w:szCs w:val="36"/>
        </w:rPr>
        <w:t xml:space="preserve">2020 </w:t>
      </w:r>
      <w:r w:rsidRPr="00D47F8C">
        <w:rPr>
          <w:color w:val="FF0000"/>
          <w:sz w:val="36"/>
          <w:szCs w:val="22"/>
        </w:rPr>
        <w:t xml:space="preserve">Preliminary </w:t>
      </w:r>
      <w:r w:rsidRPr="00D47F8C">
        <w:rPr>
          <w:color w:val="FF0000"/>
          <w:sz w:val="36"/>
          <w:szCs w:val="36"/>
        </w:rPr>
        <w:t>Earnings Estimate</w:t>
      </w:r>
    </w:p>
    <w:p w:rsidR="00E52B3A" w:rsidRPr="00D47F8C" w:rsidRDefault="00E52B3A">
      <w:pPr>
        <w:pStyle w:val="a7"/>
        <w:adjustRightInd w:val="0"/>
        <w:snapToGrid w:val="0"/>
        <w:spacing w:before="0" w:beforeAutospacing="0" w:after="0" w:afterAutospacing="0"/>
        <w:ind w:firstLineChars="200" w:firstLine="480"/>
        <w:rPr>
          <w:rFonts w:ascii="Times New Roman" w:hAnsi="Times New Roman" w:cs="Times New Roman"/>
          <w:color w:val="000000"/>
          <w:kern w:val="2"/>
          <w:szCs w:val="20"/>
        </w:rPr>
      </w:pPr>
    </w:p>
    <w:p w:rsidR="009B77C9" w:rsidRPr="00D47F8C" w:rsidRDefault="009B77C9" w:rsidP="009B77C9">
      <w:pPr>
        <w:spacing w:line="400" w:lineRule="exact"/>
        <w:ind w:firstLineChars="200" w:firstLine="480"/>
        <w:rPr>
          <w:sz w:val="24"/>
        </w:rPr>
      </w:pPr>
      <w:r w:rsidRPr="00D47F8C">
        <w:rPr>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E52B3A" w:rsidRPr="00D47F8C" w:rsidRDefault="00E52B3A">
      <w:pPr>
        <w:pStyle w:val="a7"/>
        <w:adjustRightInd w:val="0"/>
        <w:snapToGrid w:val="0"/>
        <w:spacing w:before="0" w:beforeAutospacing="0" w:after="0" w:afterAutospacing="0"/>
        <w:ind w:firstLineChars="200" w:firstLine="480"/>
        <w:rPr>
          <w:rFonts w:ascii="Times New Roman" w:hAnsi="Times New Roman" w:cs="Times New Roman"/>
        </w:rPr>
      </w:pPr>
    </w:p>
    <w:p w:rsidR="009B77C9" w:rsidRPr="00D47F8C" w:rsidRDefault="009B77C9" w:rsidP="009B77C9">
      <w:pPr>
        <w:autoSpaceDE w:val="0"/>
        <w:autoSpaceDN w:val="0"/>
        <w:adjustRightInd w:val="0"/>
        <w:snapToGrid w:val="0"/>
        <w:spacing w:line="400" w:lineRule="exact"/>
        <w:ind w:firstLineChars="200" w:firstLine="480"/>
        <w:rPr>
          <w:kern w:val="0"/>
          <w:sz w:val="24"/>
        </w:rPr>
      </w:pPr>
      <w:r w:rsidRPr="008604DA">
        <w:rPr>
          <w:sz w:val="24"/>
        </w:rPr>
        <w:t>The major financial data for 2020 contained in this announcement are preliminary accounting data of the group without being audited by an accounting firm.</w:t>
      </w:r>
      <w:r w:rsidRPr="00D47F8C">
        <w:rPr>
          <w:sz w:val="24"/>
        </w:rPr>
        <w:t xml:space="preserve"> The specific data is subject to the data disclosed in the 2020 annual report of the Company. Investors are advised to pay attention to investment risks.</w:t>
      </w:r>
    </w:p>
    <w:p w:rsidR="009B77C9" w:rsidRPr="00D47F8C" w:rsidRDefault="009B77C9">
      <w:pPr>
        <w:autoSpaceDE w:val="0"/>
        <w:autoSpaceDN w:val="0"/>
        <w:adjustRightInd w:val="0"/>
        <w:snapToGrid w:val="0"/>
        <w:spacing w:line="400" w:lineRule="exact"/>
        <w:ind w:firstLineChars="200" w:firstLine="480"/>
        <w:jc w:val="left"/>
        <w:rPr>
          <w:kern w:val="0"/>
          <w:sz w:val="24"/>
        </w:rPr>
      </w:pPr>
    </w:p>
    <w:p w:rsidR="009B77C9" w:rsidRPr="00D47F8C" w:rsidRDefault="009B77C9" w:rsidP="009B77C9">
      <w:pPr>
        <w:pStyle w:val="a7"/>
        <w:spacing w:after="0" w:afterAutospacing="0"/>
        <w:ind w:firstLineChars="200" w:firstLine="480"/>
        <w:jc w:val="both"/>
        <w:rPr>
          <w:rFonts w:ascii="Times New Roman" w:hAnsi="Times New Roman" w:cs="Times New Roman"/>
        </w:rPr>
      </w:pPr>
      <w:r w:rsidRPr="00D47F8C">
        <w:rPr>
          <w:rFonts w:ascii="Times New Roman" w:hAnsi="Times New Roman" w:cs="Times New Roman"/>
        </w:rPr>
        <w:t>I. Primary Financial Data &amp; Index</w:t>
      </w:r>
    </w:p>
    <w:p w:rsidR="009B77C9" w:rsidRPr="00D47F8C" w:rsidRDefault="00BF73B9" w:rsidP="006962C3">
      <w:pPr>
        <w:pStyle w:val="a7"/>
        <w:spacing w:before="0" w:beforeAutospacing="0" w:after="0" w:afterAutospacing="0" w:line="360" w:lineRule="exact"/>
        <w:rPr>
          <w:rFonts w:ascii="Times New Roman" w:hAnsi="Times New Roman" w:cs="Times New Roman"/>
        </w:rPr>
      </w:pPr>
      <w:r w:rsidRPr="00D47F8C">
        <w:rPr>
          <w:rFonts w:ascii="Times New Roman" w:hAnsi="Times New Roman" w:cs="Times New Roman"/>
        </w:rPr>
        <w:t xml:space="preserve">                                                       </w:t>
      </w:r>
      <w:r w:rsidR="009B77C9" w:rsidRPr="00D47F8C">
        <w:rPr>
          <w:rFonts w:ascii="Times New Roman" w:hAnsi="Times New Roman" w:cs="Times New Roman"/>
        </w:rPr>
        <w:t>Unit: RMB 1 million</w:t>
      </w:r>
    </w:p>
    <w:p w:rsidR="009B77C9" w:rsidRPr="00D47F8C" w:rsidRDefault="009B77C9">
      <w:pPr>
        <w:pStyle w:val="a7"/>
        <w:spacing w:before="0" w:beforeAutospacing="0" w:after="0" w:afterAutospacing="0" w:line="360" w:lineRule="exact"/>
        <w:rPr>
          <w:rFonts w:ascii="Times New Roman" w:hAnsi="Times New Roman" w:cs="Times New Roman"/>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2126"/>
        <w:gridCol w:w="2126"/>
        <w:gridCol w:w="2016"/>
      </w:tblGrid>
      <w:tr w:rsidR="00E52B3A" w:rsidRPr="00D47F8C">
        <w:trPr>
          <w:trHeight w:val="624"/>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Item</w:t>
            </w:r>
          </w:p>
        </w:tc>
        <w:tc>
          <w:tcPr>
            <w:tcW w:w="212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9B77C9">
            <w:pPr>
              <w:pStyle w:val="a7"/>
              <w:adjustRightInd w:val="0"/>
              <w:snapToGrid w:val="0"/>
              <w:spacing w:beforeLines="15" w:before="46" w:beforeAutospacing="0" w:afterLines="15" w:after="46" w:afterAutospacing="0" w:line="360" w:lineRule="exact"/>
              <w:jc w:val="center"/>
              <w:rPr>
                <w:rFonts w:ascii="Times New Roman" w:hAnsi="Times New Roman" w:cs="Times New Roman"/>
                <w:b/>
              </w:rPr>
            </w:pPr>
            <w:r w:rsidRPr="00D47F8C">
              <w:rPr>
                <w:rFonts w:ascii="Times New Roman" w:hAnsi="Times New Roman" w:cs="Times New Roman"/>
                <w:b/>
              </w:rPr>
              <w:t>2020</w:t>
            </w:r>
          </w:p>
          <w:p w:rsidR="009B77C9" w:rsidRPr="00D47F8C" w:rsidRDefault="009B77C9" w:rsidP="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(Unaudited)</w:t>
            </w:r>
          </w:p>
        </w:tc>
        <w:tc>
          <w:tcPr>
            <w:tcW w:w="212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9B77C9">
            <w:pPr>
              <w:pStyle w:val="a7"/>
              <w:adjustRightInd w:val="0"/>
              <w:snapToGrid w:val="0"/>
              <w:spacing w:beforeLines="15" w:before="46" w:beforeAutospacing="0" w:afterLines="15" w:after="46" w:afterAutospacing="0" w:line="360" w:lineRule="exact"/>
              <w:jc w:val="center"/>
              <w:rPr>
                <w:rFonts w:ascii="Times New Roman" w:hAnsi="Times New Roman" w:cs="Times New Roman"/>
                <w:b/>
              </w:rPr>
            </w:pPr>
            <w:r w:rsidRPr="00D47F8C">
              <w:rPr>
                <w:rFonts w:ascii="Times New Roman" w:hAnsi="Times New Roman" w:cs="Times New Roman"/>
                <w:b/>
              </w:rPr>
              <w:t>2019</w:t>
            </w:r>
          </w:p>
          <w:p w:rsidR="009B77C9" w:rsidRPr="00D47F8C" w:rsidRDefault="009B77C9" w:rsidP="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(Audited)</w:t>
            </w:r>
          </w:p>
        </w:tc>
        <w:tc>
          <w:tcPr>
            <w:tcW w:w="201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Increase or Decrease (%)</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Business income</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203,137</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181,308</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12.04</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Pre-provision profit</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151,974</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132,362</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14.82</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Business profit</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76,547</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74,266</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3.07</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Total profit</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76,637</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74,503</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2.86</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Net profit attributable to shareholders of the parent company</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66,626</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65,868</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1.15</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5A2D04">
            <w:pPr>
              <w:pStyle w:val="a7"/>
              <w:adjustRightInd w:val="0"/>
              <w:snapToGrid w:val="0"/>
              <w:spacing w:before="0" w:beforeAutospacing="0" w:after="0" w:afterAutospacing="0" w:line="360" w:lineRule="exact"/>
              <w:jc w:val="both"/>
              <w:rPr>
                <w:rFonts w:ascii="Times New Roman" w:hAnsi="Times New Roman" w:cs="Times New Roman"/>
              </w:rPr>
            </w:pPr>
            <w:r w:rsidRPr="00D47F8C">
              <w:rPr>
                <w:rFonts w:ascii="Times New Roman" w:hAnsi="Times New Roman" w:cs="Times New Roman"/>
              </w:rPr>
              <w:t xml:space="preserve">Net profit attributable to shareholders of the parent company and excludes </w:t>
            </w:r>
            <w:r w:rsidRPr="00D47F8C">
              <w:rPr>
                <w:rFonts w:ascii="Times New Roman" w:hAnsi="Times New Roman" w:cs="Times New Roman"/>
              </w:rPr>
              <w:lastRenderedPageBreak/>
              <w:t>non-recurring profit and loss</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lastRenderedPageBreak/>
              <w:t>66,226</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65,458</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1.17</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lastRenderedPageBreak/>
              <w:t xml:space="preserve">Basic earnings per share </w:t>
            </w:r>
            <w:r w:rsidR="005A2D04" w:rsidRPr="00D47F8C">
              <w:rPr>
                <w:rFonts w:ascii="Times New Roman" w:hAnsi="Times New Roman" w:cs="Times New Roman"/>
              </w:rPr>
              <w:t>(RMB)</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3.08</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3.10</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jc w:val="right"/>
              <w:rPr>
                <w:rFonts w:ascii="Times New Roman" w:hAnsi="Times New Roman" w:cs="Times New Roman"/>
              </w:rPr>
            </w:pPr>
            <w:r w:rsidRPr="00D47F8C">
              <w:rPr>
                <w:rFonts w:ascii="Times New Roman" w:hAnsi="Times New Roman" w:cs="Times New Roman"/>
              </w:rPr>
              <w:t>(0.65)</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ROE (%)</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12.62</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14.02</w:t>
            </w:r>
          </w:p>
        </w:tc>
        <w:tc>
          <w:tcPr>
            <w:tcW w:w="2016" w:type="dxa"/>
            <w:tcBorders>
              <w:top w:val="single" w:sz="4" w:space="0" w:color="auto"/>
              <w:left w:val="single" w:sz="4" w:space="0" w:color="auto"/>
              <w:bottom w:val="single" w:sz="4" w:space="0" w:color="auto"/>
              <w:right w:val="single" w:sz="4" w:space="0" w:color="auto"/>
            </w:tcBorders>
          </w:tcPr>
          <w:p w:rsidR="00354B92" w:rsidRPr="00D47F8C" w:rsidRDefault="00266AB4" w:rsidP="00354B92">
            <w:pPr>
              <w:pStyle w:val="a7"/>
              <w:adjustRightInd w:val="0"/>
              <w:snapToGrid w:val="0"/>
              <w:spacing w:before="0" w:beforeAutospacing="0" w:after="0" w:afterAutospacing="0" w:line="360" w:lineRule="exact"/>
              <w:jc w:val="right"/>
              <w:rPr>
                <w:rFonts w:ascii="Times New Roman" w:hAnsi="Times New Roman" w:cs="Times New Roman"/>
              </w:rPr>
            </w:pPr>
            <w:r w:rsidRPr="00D47F8C">
              <w:rPr>
                <w:rFonts w:ascii="Times New Roman" w:hAnsi="Times New Roman" w:cs="Times New Roman"/>
              </w:rPr>
              <w:t>Decrease of</w:t>
            </w:r>
            <w:r w:rsidR="00354B92" w:rsidRPr="00D47F8C">
              <w:rPr>
                <w:rFonts w:ascii="Times New Roman" w:hAnsi="Times New Roman" w:cs="Times New Roman"/>
              </w:rPr>
              <w:t xml:space="preserve"> 1.40 percentage points</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E52B3A" w:rsidRPr="00D47F8C" w:rsidRDefault="00E52B3A">
            <w:pPr>
              <w:pStyle w:val="a7"/>
              <w:adjustRightInd w:val="0"/>
              <w:snapToGrid w:val="0"/>
              <w:spacing w:beforeLines="15" w:before="46" w:beforeAutospacing="0" w:afterLines="15" w:after="46" w:afterAutospacing="0"/>
              <w:jc w:val="cente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9B77C9">
            <w:pPr>
              <w:pStyle w:val="a7"/>
              <w:adjustRightInd w:val="0"/>
              <w:snapToGrid w:val="0"/>
              <w:spacing w:beforeLines="15" w:before="46" w:beforeAutospacing="0" w:afterLines="15" w:after="46" w:afterAutospacing="0" w:line="360" w:lineRule="exact"/>
              <w:jc w:val="center"/>
              <w:rPr>
                <w:rFonts w:ascii="Times New Roman" w:hAnsi="Times New Roman" w:cs="Times New Roman"/>
                <w:b/>
              </w:rPr>
            </w:pPr>
            <w:r w:rsidRPr="00D47F8C">
              <w:rPr>
                <w:rFonts w:ascii="Times New Roman" w:hAnsi="Times New Roman" w:cs="Times New Roman"/>
                <w:b/>
              </w:rPr>
              <w:t>December 31, 2020</w:t>
            </w:r>
          </w:p>
          <w:p w:rsidR="009B77C9" w:rsidRPr="00D47F8C" w:rsidRDefault="009B77C9" w:rsidP="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(Unaudited)</w:t>
            </w:r>
          </w:p>
        </w:tc>
        <w:tc>
          <w:tcPr>
            <w:tcW w:w="212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9B77C9">
            <w:pPr>
              <w:pStyle w:val="a7"/>
              <w:adjustRightInd w:val="0"/>
              <w:snapToGrid w:val="0"/>
              <w:spacing w:beforeLines="15" w:before="46" w:beforeAutospacing="0" w:afterLines="15" w:after="46" w:afterAutospacing="0" w:line="360" w:lineRule="exact"/>
              <w:jc w:val="center"/>
              <w:rPr>
                <w:rFonts w:ascii="Times New Roman" w:hAnsi="Times New Roman" w:cs="Times New Roman"/>
                <w:b/>
              </w:rPr>
            </w:pPr>
            <w:r w:rsidRPr="00D47F8C">
              <w:rPr>
                <w:rFonts w:ascii="Times New Roman" w:hAnsi="Times New Roman" w:cs="Times New Roman"/>
                <w:b/>
              </w:rPr>
              <w:t>December 31, 2019</w:t>
            </w:r>
          </w:p>
          <w:p w:rsidR="009B77C9" w:rsidRPr="00D47F8C" w:rsidRDefault="009B77C9" w:rsidP="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(Audited)</w:t>
            </w:r>
          </w:p>
        </w:tc>
        <w:tc>
          <w:tcPr>
            <w:tcW w:w="2016"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jc w:val="center"/>
              <w:rPr>
                <w:rFonts w:ascii="Times New Roman" w:hAnsi="Times New Roman" w:cs="Times New Roman"/>
                <w:b/>
              </w:rPr>
            </w:pPr>
            <w:r w:rsidRPr="00D47F8C">
              <w:rPr>
                <w:rFonts w:ascii="Times New Roman" w:hAnsi="Times New Roman" w:cs="Times New Roman"/>
                <w:b/>
              </w:rPr>
              <w:t>Increase or Decrease (%)</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Total asset</w:t>
            </w:r>
            <w:r w:rsidR="00F72BA3" w:rsidRPr="00D47F8C">
              <w:rPr>
                <w:rFonts w:ascii="Times New Roman" w:hAnsi="Times New Roman" w:cs="Times New Roman"/>
              </w:rPr>
              <w:t>s</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kern w:val="0"/>
                <w:sz w:val="24"/>
                <w:szCs w:val="24"/>
              </w:rPr>
            </w:pPr>
            <w:r w:rsidRPr="00D47F8C">
              <w:rPr>
                <w:kern w:val="0"/>
                <w:sz w:val="24"/>
                <w:szCs w:val="24"/>
              </w:rPr>
              <w:t>7,895,372</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kern w:val="0"/>
                <w:sz w:val="24"/>
                <w:szCs w:val="24"/>
              </w:rPr>
            </w:pPr>
            <w:r w:rsidRPr="00D47F8C">
              <w:rPr>
                <w:kern w:val="0"/>
                <w:sz w:val="24"/>
                <w:szCs w:val="24"/>
              </w:rPr>
              <w:t>7,145,681</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10.49</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Total</w:t>
            </w:r>
            <w:r w:rsidR="00266AB4" w:rsidRPr="00D47F8C">
              <w:rPr>
                <w:rFonts w:ascii="Times New Roman" w:hAnsi="Times New Roman" w:cs="Times New Roman"/>
              </w:rPr>
              <w:t xml:space="preserve"> liabilities</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kern w:val="0"/>
                <w:sz w:val="24"/>
                <w:szCs w:val="24"/>
              </w:rPr>
            </w:pPr>
            <w:r w:rsidRPr="00D47F8C">
              <w:rPr>
                <w:kern w:val="0"/>
                <w:sz w:val="24"/>
                <w:szCs w:val="24"/>
              </w:rPr>
              <w:t>7,270,640</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kern w:val="0"/>
                <w:sz w:val="24"/>
                <w:szCs w:val="24"/>
              </w:rPr>
            </w:pPr>
            <w:r w:rsidRPr="00D47F8C">
              <w:rPr>
                <w:kern w:val="0"/>
                <w:sz w:val="24"/>
                <w:szCs w:val="24"/>
              </w:rPr>
              <w:t>6,596,029</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10.23</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5A2D04">
            <w:pPr>
              <w:pStyle w:val="a7"/>
              <w:adjustRightInd w:val="0"/>
              <w:snapToGrid w:val="0"/>
              <w:spacing w:before="0" w:beforeAutospacing="0" w:after="0" w:afterAutospacing="0" w:line="360" w:lineRule="exact"/>
              <w:jc w:val="both"/>
              <w:rPr>
                <w:rFonts w:ascii="Times New Roman" w:hAnsi="Times New Roman" w:cs="Times New Roman"/>
              </w:rPr>
            </w:pPr>
            <w:r w:rsidRPr="00D47F8C">
              <w:rPr>
                <w:rFonts w:ascii="Times New Roman" w:hAnsi="Times New Roman" w:cs="Times New Roman"/>
              </w:rPr>
              <w:t>Owner’s equity attributable to shareholders of the parent company</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615,515</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spacing w:beforeLines="18" w:before="56" w:afterLines="18" w:after="56"/>
              <w:jc w:val="right"/>
              <w:rPr>
                <w:bCs/>
                <w:kern w:val="0"/>
                <w:sz w:val="24"/>
                <w:szCs w:val="24"/>
              </w:rPr>
            </w:pPr>
            <w:r w:rsidRPr="00D47F8C">
              <w:rPr>
                <w:bCs/>
                <w:kern w:val="0"/>
                <w:sz w:val="24"/>
                <w:szCs w:val="24"/>
              </w:rPr>
              <w:t>541,360</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13.70</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9B77C9" w:rsidRPr="00D47F8C" w:rsidRDefault="009B77C9" w:rsidP="005A2D04">
            <w:pPr>
              <w:pStyle w:val="a7"/>
              <w:adjustRightInd w:val="0"/>
              <w:snapToGrid w:val="0"/>
              <w:spacing w:before="0" w:beforeAutospacing="0" w:after="0" w:afterAutospacing="0" w:line="360" w:lineRule="exact"/>
              <w:jc w:val="both"/>
              <w:rPr>
                <w:rFonts w:ascii="Times New Roman" w:hAnsi="Times New Roman" w:cs="Times New Roman"/>
              </w:rPr>
            </w:pPr>
            <w:r w:rsidRPr="00D47F8C">
              <w:rPr>
                <w:rFonts w:ascii="Times New Roman" w:hAnsi="Times New Roman" w:cs="Times New Roman"/>
              </w:rPr>
              <w:t xml:space="preserve">Owner’s equity attributable to ordinary shareholders of </w:t>
            </w:r>
            <w:r w:rsidR="005A2D04" w:rsidRPr="00D47F8C">
              <w:rPr>
                <w:rFonts w:ascii="Times New Roman" w:hAnsi="Times New Roman" w:cs="Times New Roman"/>
              </w:rPr>
              <w:t xml:space="preserve">the </w:t>
            </w:r>
            <w:r w:rsidRPr="00D47F8C">
              <w:rPr>
                <w:rFonts w:ascii="Times New Roman" w:hAnsi="Times New Roman" w:cs="Times New Roman"/>
              </w:rPr>
              <w:t>parent company</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529,713</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485,518</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9.10</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5A2D04" w:rsidRPr="00D47F8C" w:rsidRDefault="005A2D04">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Capital of common stock</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20,774</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20,774</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Lines="15" w:before="46" w:beforeAutospacing="0" w:afterLines="15" w:after="46"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w:t>
            </w:r>
          </w:p>
        </w:tc>
      </w:tr>
      <w:tr w:rsidR="00E52B3A" w:rsidRPr="00D47F8C">
        <w:trPr>
          <w:jc w:val="center"/>
        </w:trPr>
        <w:tc>
          <w:tcPr>
            <w:tcW w:w="3111" w:type="dxa"/>
            <w:tcBorders>
              <w:top w:val="single" w:sz="4" w:space="0" w:color="auto"/>
              <w:left w:val="single" w:sz="4" w:space="0" w:color="auto"/>
              <w:bottom w:val="single" w:sz="4" w:space="0" w:color="auto"/>
              <w:right w:val="single" w:sz="4" w:space="0" w:color="auto"/>
            </w:tcBorders>
            <w:vAlign w:val="center"/>
          </w:tcPr>
          <w:p w:rsidR="005A2D04" w:rsidRPr="00D47F8C" w:rsidRDefault="005A2D04" w:rsidP="005A2D04">
            <w:pPr>
              <w:pStyle w:val="a7"/>
              <w:adjustRightInd w:val="0"/>
              <w:snapToGrid w:val="0"/>
              <w:spacing w:before="0" w:beforeAutospacing="0" w:after="0" w:afterAutospacing="0" w:line="360" w:lineRule="exact"/>
              <w:jc w:val="both"/>
              <w:rPr>
                <w:rFonts w:ascii="Times New Roman" w:hAnsi="Times New Roman" w:cs="Times New Roman"/>
              </w:rPr>
            </w:pPr>
            <w:r w:rsidRPr="00D47F8C">
              <w:rPr>
                <w:rFonts w:ascii="Times New Roman" w:hAnsi="Times New Roman" w:cs="Times New Roman"/>
              </w:rPr>
              <w:t>Net assets per share attributable to ordinary shareholders of the parent company (RMB)</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25.50</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jc w:val="right"/>
              <w:rPr>
                <w:sz w:val="24"/>
                <w:szCs w:val="24"/>
              </w:rPr>
            </w:pPr>
            <w:r w:rsidRPr="00D47F8C">
              <w:rPr>
                <w:sz w:val="24"/>
                <w:szCs w:val="24"/>
              </w:rPr>
              <w:t>23.37</w:t>
            </w:r>
          </w:p>
        </w:tc>
        <w:tc>
          <w:tcPr>
            <w:tcW w:w="201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pStyle w:val="a7"/>
              <w:adjustRightInd w:val="0"/>
              <w:snapToGrid w:val="0"/>
              <w:spacing w:before="0" w:beforeAutospacing="0" w:after="0" w:afterAutospacing="0" w:line="360" w:lineRule="exact"/>
              <w:ind w:firstLineChars="200" w:firstLine="480"/>
              <w:jc w:val="right"/>
              <w:rPr>
                <w:rFonts w:ascii="Times New Roman" w:hAnsi="Times New Roman" w:cs="Times New Roman"/>
              </w:rPr>
            </w:pPr>
            <w:r w:rsidRPr="00D47F8C">
              <w:rPr>
                <w:rFonts w:ascii="Times New Roman" w:hAnsi="Times New Roman" w:cs="Times New Roman"/>
              </w:rPr>
              <w:t>9.10</w:t>
            </w:r>
          </w:p>
        </w:tc>
      </w:tr>
      <w:tr w:rsidR="00E52B3A" w:rsidRPr="00D47F8C">
        <w:trPr>
          <w:trHeight w:val="346"/>
          <w:jc w:val="center"/>
        </w:trPr>
        <w:tc>
          <w:tcPr>
            <w:tcW w:w="3111" w:type="dxa"/>
            <w:tcBorders>
              <w:top w:val="single" w:sz="4" w:space="0" w:color="auto"/>
              <w:left w:val="single" w:sz="4" w:space="0" w:color="auto"/>
              <w:bottom w:val="single" w:sz="4" w:space="0" w:color="auto"/>
              <w:right w:val="single" w:sz="4" w:space="0" w:color="auto"/>
            </w:tcBorders>
            <w:vAlign w:val="center"/>
          </w:tcPr>
          <w:p w:rsidR="00FC6F75" w:rsidRPr="00D47F8C" w:rsidRDefault="0003520C" w:rsidP="005D336E">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Non-performing loan</w:t>
            </w:r>
            <w:r w:rsidR="00FC6F75" w:rsidRPr="00D47F8C">
              <w:rPr>
                <w:rFonts w:ascii="Times New Roman" w:hAnsi="Times New Roman" w:cs="Times New Roman"/>
              </w:rPr>
              <w:t xml:space="preserve"> </w:t>
            </w:r>
            <w:r w:rsidR="00266AB4" w:rsidRPr="00D47F8C">
              <w:rPr>
                <w:rFonts w:ascii="Times New Roman" w:hAnsi="Times New Roman" w:cs="Times New Roman"/>
              </w:rPr>
              <w:t>ratio</w:t>
            </w:r>
            <w:r w:rsidR="00FC6F75" w:rsidRPr="00D47F8C">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widowControl/>
              <w:spacing w:beforeLines="50" w:before="156" w:afterLines="50" w:after="156" w:line="360" w:lineRule="exact"/>
              <w:jc w:val="right"/>
              <w:rPr>
                <w:kern w:val="0"/>
                <w:sz w:val="24"/>
                <w:szCs w:val="24"/>
              </w:rPr>
            </w:pPr>
            <w:r w:rsidRPr="00D47F8C">
              <w:rPr>
                <w:kern w:val="0"/>
                <w:sz w:val="24"/>
                <w:szCs w:val="24"/>
              </w:rPr>
              <w:t>1.25</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widowControl/>
              <w:spacing w:beforeLines="50" w:before="156" w:afterLines="50" w:after="156" w:line="360" w:lineRule="exact"/>
              <w:jc w:val="right"/>
              <w:rPr>
                <w:kern w:val="0"/>
                <w:sz w:val="24"/>
                <w:szCs w:val="24"/>
              </w:rPr>
            </w:pPr>
            <w:r w:rsidRPr="00D47F8C">
              <w:rPr>
                <w:kern w:val="0"/>
                <w:sz w:val="24"/>
                <w:szCs w:val="24"/>
              </w:rPr>
              <w:t>1.54</w:t>
            </w:r>
          </w:p>
        </w:tc>
        <w:tc>
          <w:tcPr>
            <w:tcW w:w="2016" w:type="dxa"/>
            <w:tcBorders>
              <w:top w:val="single" w:sz="4" w:space="0" w:color="auto"/>
              <w:left w:val="single" w:sz="4" w:space="0" w:color="auto"/>
              <w:bottom w:val="single" w:sz="4" w:space="0" w:color="auto"/>
              <w:right w:val="single" w:sz="4" w:space="0" w:color="auto"/>
            </w:tcBorders>
            <w:vAlign w:val="center"/>
          </w:tcPr>
          <w:p w:rsidR="00354B92" w:rsidRPr="00D47F8C" w:rsidRDefault="00266AB4" w:rsidP="00354B92">
            <w:pPr>
              <w:pStyle w:val="a7"/>
              <w:adjustRightInd w:val="0"/>
              <w:snapToGrid w:val="0"/>
              <w:spacing w:before="15" w:beforeAutospacing="0" w:after="15" w:afterAutospacing="0" w:line="360" w:lineRule="exact"/>
              <w:jc w:val="right"/>
              <w:rPr>
                <w:rFonts w:ascii="Times New Roman" w:hAnsi="Times New Roman" w:cs="Times New Roman"/>
              </w:rPr>
            </w:pPr>
            <w:r w:rsidRPr="00D47F8C">
              <w:rPr>
                <w:rFonts w:ascii="Times New Roman" w:hAnsi="Times New Roman" w:cs="Times New Roman"/>
              </w:rPr>
              <w:t>Decrease of</w:t>
            </w:r>
            <w:r w:rsidR="00354B92" w:rsidRPr="00D47F8C">
              <w:rPr>
                <w:rFonts w:ascii="Times New Roman" w:hAnsi="Times New Roman" w:cs="Times New Roman"/>
              </w:rPr>
              <w:t xml:space="preserve"> 0.29 percentage points</w:t>
            </w:r>
          </w:p>
        </w:tc>
      </w:tr>
      <w:tr w:rsidR="00E52B3A" w:rsidRPr="00D47F8C">
        <w:trPr>
          <w:trHeight w:val="346"/>
          <w:jc w:val="center"/>
        </w:trPr>
        <w:tc>
          <w:tcPr>
            <w:tcW w:w="3111" w:type="dxa"/>
            <w:tcBorders>
              <w:top w:val="single" w:sz="4" w:space="0" w:color="auto"/>
              <w:left w:val="single" w:sz="4" w:space="0" w:color="auto"/>
              <w:bottom w:val="single" w:sz="4" w:space="0" w:color="auto"/>
              <w:right w:val="single" w:sz="4" w:space="0" w:color="auto"/>
            </w:tcBorders>
            <w:vAlign w:val="center"/>
          </w:tcPr>
          <w:p w:rsidR="00FC6F75" w:rsidRPr="00D47F8C" w:rsidRDefault="00FC6F75">
            <w:pPr>
              <w:pStyle w:val="a7"/>
              <w:adjustRightInd w:val="0"/>
              <w:snapToGrid w:val="0"/>
              <w:spacing w:beforeLines="15" w:before="46" w:beforeAutospacing="0" w:afterLines="15" w:after="46" w:afterAutospacing="0" w:line="360" w:lineRule="exact"/>
              <w:jc w:val="both"/>
              <w:rPr>
                <w:rFonts w:ascii="Times New Roman" w:hAnsi="Times New Roman" w:cs="Times New Roman"/>
              </w:rPr>
            </w:pPr>
            <w:r w:rsidRPr="00D47F8C">
              <w:rPr>
                <w:rFonts w:ascii="Times New Roman" w:hAnsi="Times New Roman" w:cs="Times New Roman"/>
              </w:rPr>
              <w:t>Provision coverage</w:t>
            </w:r>
            <w:r w:rsidR="00FD7E2B" w:rsidRPr="00D47F8C">
              <w:rPr>
                <w:rFonts w:ascii="Times New Roman" w:hAnsi="Times New Roman" w:cs="Times New Roman"/>
              </w:rPr>
              <w:t xml:space="preserve"> ratio</w:t>
            </w:r>
            <w:r w:rsidRPr="00D47F8C">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widowControl/>
              <w:spacing w:beforeLines="50" w:before="156" w:afterLines="50" w:after="156" w:line="360" w:lineRule="exact"/>
              <w:jc w:val="right"/>
              <w:rPr>
                <w:kern w:val="0"/>
                <w:sz w:val="24"/>
                <w:szCs w:val="24"/>
              </w:rPr>
            </w:pPr>
            <w:r w:rsidRPr="00D47F8C">
              <w:rPr>
                <w:kern w:val="0"/>
                <w:sz w:val="24"/>
                <w:szCs w:val="24"/>
              </w:rPr>
              <w:t>218.83</w:t>
            </w:r>
          </w:p>
        </w:tc>
        <w:tc>
          <w:tcPr>
            <w:tcW w:w="2126" w:type="dxa"/>
            <w:tcBorders>
              <w:top w:val="single" w:sz="4" w:space="0" w:color="auto"/>
              <w:left w:val="single" w:sz="4" w:space="0" w:color="auto"/>
              <w:bottom w:val="single" w:sz="4" w:space="0" w:color="auto"/>
              <w:right w:val="single" w:sz="4" w:space="0" w:color="auto"/>
            </w:tcBorders>
            <w:vAlign w:val="center"/>
          </w:tcPr>
          <w:p w:rsidR="00E52B3A" w:rsidRPr="00D47F8C" w:rsidRDefault="00BF73B9">
            <w:pPr>
              <w:widowControl/>
              <w:spacing w:beforeLines="50" w:before="156" w:afterLines="50" w:after="156" w:line="360" w:lineRule="exact"/>
              <w:jc w:val="right"/>
              <w:rPr>
                <w:kern w:val="0"/>
                <w:sz w:val="24"/>
                <w:szCs w:val="24"/>
              </w:rPr>
            </w:pPr>
            <w:r w:rsidRPr="00D47F8C">
              <w:rPr>
                <w:kern w:val="0"/>
                <w:sz w:val="24"/>
                <w:szCs w:val="24"/>
              </w:rPr>
              <w:t>199.13</w:t>
            </w:r>
          </w:p>
        </w:tc>
        <w:tc>
          <w:tcPr>
            <w:tcW w:w="2016" w:type="dxa"/>
            <w:tcBorders>
              <w:top w:val="single" w:sz="4" w:space="0" w:color="auto"/>
              <w:left w:val="single" w:sz="4" w:space="0" w:color="auto"/>
              <w:bottom w:val="single" w:sz="4" w:space="0" w:color="auto"/>
              <w:right w:val="single" w:sz="4" w:space="0" w:color="auto"/>
            </w:tcBorders>
            <w:vAlign w:val="center"/>
          </w:tcPr>
          <w:p w:rsidR="00354B92" w:rsidRPr="00D47F8C" w:rsidRDefault="00266AB4" w:rsidP="00B80ABB">
            <w:pPr>
              <w:pStyle w:val="a7"/>
              <w:adjustRightInd w:val="0"/>
              <w:snapToGrid w:val="0"/>
              <w:spacing w:before="15" w:beforeAutospacing="0" w:after="15" w:afterAutospacing="0" w:line="360" w:lineRule="exact"/>
              <w:jc w:val="right"/>
              <w:rPr>
                <w:rFonts w:ascii="Times New Roman" w:hAnsi="Times New Roman" w:cs="Times New Roman"/>
              </w:rPr>
            </w:pPr>
            <w:r w:rsidRPr="00D47F8C">
              <w:rPr>
                <w:rFonts w:ascii="Times New Roman" w:hAnsi="Times New Roman" w:cs="Times New Roman"/>
              </w:rPr>
              <w:t>Increase of</w:t>
            </w:r>
            <w:r w:rsidR="00354B92" w:rsidRPr="00D47F8C">
              <w:rPr>
                <w:rFonts w:ascii="Times New Roman" w:hAnsi="Times New Roman" w:cs="Times New Roman"/>
              </w:rPr>
              <w:t xml:space="preserve"> 19.70 percentage points</w:t>
            </w:r>
          </w:p>
        </w:tc>
      </w:tr>
    </w:tbl>
    <w:p w:rsidR="00BC3641" w:rsidRPr="00D47F8C" w:rsidRDefault="00BC3641" w:rsidP="00BC3641">
      <w:pPr>
        <w:spacing w:line="360" w:lineRule="exact"/>
        <w:ind w:firstLineChars="200" w:firstLine="420"/>
        <w:rPr>
          <w:szCs w:val="21"/>
        </w:rPr>
      </w:pPr>
      <w:r w:rsidRPr="00D47F8C">
        <w:rPr>
          <w:szCs w:val="21"/>
        </w:rPr>
        <w:t xml:space="preserve">Notes: Earnings per share and ROE are calculated based on </w:t>
      </w:r>
      <w:r w:rsidRPr="00D47F8C">
        <w:rPr>
          <w:i/>
          <w:szCs w:val="21"/>
        </w:rPr>
        <w:t>Compilation Rules for Information Disclosure by Companies Issuing Securities through Public Offering No.9 --- Calculation and Disclosure of Return on Equity and Earnings per Share</w:t>
      </w:r>
      <w:r w:rsidRPr="00D47F8C">
        <w:rPr>
          <w:szCs w:val="21"/>
        </w:rPr>
        <w:t xml:space="preserve"> (revised in 2010), the impact of preferred stock dividends was considered.</w:t>
      </w:r>
    </w:p>
    <w:p w:rsidR="00BC3641" w:rsidRPr="00D47F8C" w:rsidRDefault="00BC3641">
      <w:pPr>
        <w:spacing w:line="360" w:lineRule="exact"/>
        <w:ind w:firstLineChars="200" w:firstLine="420"/>
        <w:rPr>
          <w:szCs w:val="21"/>
        </w:rPr>
      </w:pPr>
    </w:p>
    <w:p w:rsidR="00BC3641" w:rsidRPr="00D47F8C" w:rsidRDefault="00BC3641" w:rsidP="00BC3641">
      <w:pPr>
        <w:pStyle w:val="a7"/>
        <w:spacing w:after="0" w:afterAutospacing="0" w:line="360" w:lineRule="auto"/>
        <w:ind w:firstLineChars="200" w:firstLine="480"/>
        <w:jc w:val="both"/>
        <w:rPr>
          <w:rFonts w:ascii="Times New Roman" w:hAnsi="Times New Roman" w:cs="Times New Roman"/>
        </w:rPr>
      </w:pPr>
      <w:r w:rsidRPr="00D47F8C">
        <w:rPr>
          <w:rFonts w:ascii="Times New Roman" w:hAnsi="Times New Roman" w:cs="Times New Roman"/>
        </w:rPr>
        <w:t>II. Description of Operation Performance and Financial Conditions</w:t>
      </w:r>
    </w:p>
    <w:p w:rsidR="008F2C1A" w:rsidRPr="00D47F8C" w:rsidRDefault="008F2C1A" w:rsidP="008F2C1A">
      <w:pPr>
        <w:widowControl/>
        <w:tabs>
          <w:tab w:val="left" w:pos="360"/>
        </w:tabs>
        <w:spacing w:line="440" w:lineRule="exact"/>
        <w:ind w:firstLineChars="200" w:firstLine="480"/>
        <w:rPr>
          <w:kern w:val="0"/>
          <w:sz w:val="24"/>
          <w:szCs w:val="24"/>
        </w:rPr>
      </w:pPr>
      <w:r w:rsidRPr="00D47F8C">
        <w:rPr>
          <w:sz w:val="24"/>
          <w:szCs w:val="24"/>
        </w:rPr>
        <w:t xml:space="preserve">During the reporting period, the Company responded actively to the changing situation and the challenge of the epidemic, conscientiously implemented the national macro-control policies and financial regulatory requirements, and firmly advanced the implementation of the </w:t>
      </w:r>
      <w:r w:rsidR="00D47F8C" w:rsidRPr="00D47F8C">
        <w:rPr>
          <w:sz w:val="24"/>
          <w:szCs w:val="24"/>
        </w:rPr>
        <w:t>“</w:t>
      </w:r>
      <w:r w:rsidRPr="00D47F8C">
        <w:rPr>
          <w:sz w:val="24"/>
          <w:szCs w:val="24"/>
        </w:rPr>
        <w:t>1234</w:t>
      </w:r>
      <w:r w:rsidR="00D47F8C" w:rsidRPr="00D47F8C">
        <w:rPr>
          <w:sz w:val="24"/>
          <w:szCs w:val="24"/>
        </w:rPr>
        <w:t>”</w:t>
      </w:r>
      <w:r w:rsidRPr="00D47F8C">
        <w:rPr>
          <w:sz w:val="24"/>
          <w:szCs w:val="24"/>
        </w:rPr>
        <w:t xml:space="preserve"> strategy and </w:t>
      </w:r>
      <w:r w:rsidR="00D47F8C" w:rsidRPr="00D47F8C">
        <w:rPr>
          <w:sz w:val="24"/>
          <w:szCs w:val="24"/>
        </w:rPr>
        <w:t>“</w:t>
      </w:r>
      <w:r w:rsidRPr="00D47F8C">
        <w:rPr>
          <w:sz w:val="24"/>
          <w:szCs w:val="24"/>
        </w:rPr>
        <w:t>2344</w:t>
      </w:r>
      <w:r w:rsidR="00D47F8C" w:rsidRPr="00D47F8C">
        <w:rPr>
          <w:sz w:val="24"/>
          <w:szCs w:val="24"/>
        </w:rPr>
        <w:t>”</w:t>
      </w:r>
      <w:r w:rsidRPr="00D47F8C">
        <w:rPr>
          <w:sz w:val="24"/>
          <w:szCs w:val="24"/>
        </w:rPr>
        <w:t xml:space="preserve"> strategy to ensure safety and stable development, help to </w:t>
      </w:r>
      <w:r w:rsidRPr="00D47F8C">
        <w:rPr>
          <w:sz w:val="24"/>
          <w:szCs w:val="24"/>
        </w:rPr>
        <w:lastRenderedPageBreak/>
        <w:t>prevent the epidemic, and increase support for the real economy. Various businesses have maintained sound development, and the quality of operations has been steadily improved.</w:t>
      </w:r>
    </w:p>
    <w:p w:rsidR="00266AB4" w:rsidRPr="00D47F8C" w:rsidRDefault="00266AB4" w:rsidP="00266AB4">
      <w:pPr>
        <w:widowControl/>
        <w:tabs>
          <w:tab w:val="left" w:pos="360"/>
        </w:tabs>
        <w:spacing w:line="440" w:lineRule="exact"/>
        <w:ind w:firstLineChars="200" w:firstLine="480"/>
        <w:rPr>
          <w:kern w:val="0"/>
          <w:sz w:val="24"/>
          <w:szCs w:val="24"/>
        </w:rPr>
      </w:pPr>
      <w:r w:rsidRPr="00D47F8C">
        <w:rPr>
          <w:sz w:val="24"/>
          <w:szCs w:val="24"/>
        </w:rPr>
        <w:t xml:space="preserve">In 2020, the Company realized a total profit of </w:t>
      </w:r>
      <w:r w:rsidR="008F2C1A" w:rsidRPr="00D47F8C">
        <w:rPr>
          <w:sz w:val="24"/>
          <w:szCs w:val="24"/>
        </w:rPr>
        <w:t xml:space="preserve">RMB </w:t>
      </w:r>
      <w:r w:rsidRPr="00D47F8C">
        <w:rPr>
          <w:sz w:val="24"/>
          <w:szCs w:val="24"/>
        </w:rPr>
        <w:t xml:space="preserve">76.637 billion, a year-on-year increase of 2.86%; the net profit attributable to shareholders of the parent company was </w:t>
      </w:r>
      <w:r w:rsidR="008F2C1A" w:rsidRPr="00D47F8C">
        <w:rPr>
          <w:sz w:val="24"/>
          <w:szCs w:val="24"/>
        </w:rPr>
        <w:t xml:space="preserve">RMB </w:t>
      </w:r>
      <w:r w:rsidRPr="00D47F8C">
        <w:rPr>
          <w:sz w:val="24"/>
          <w:szCs w:val="24"/>
        </w:rPr>
        <w:t xml:space="preserve">66.626 billion, a year-on-year increase of 1.15%, and the profitability remained at a good level. As of the end of 2020, the Company's total assets were </w:t>
      </w:r>
      <w:r w:rsidR="008F2C1A" w:rsidRPr="00D47F8C">
        <w:rPr>
          <w:sz w:val="24"/>
          <w:szCs w:val="24"/>
        </w:rPr>
        <w:t>RMB 7,895.372 billion</w:t>
      </w:r>
      <w:r w:rsidRPr="00D47F8C">
        <w:rPr>
          <w:sz w:val="24"/>
          <w:szCs w:val="24"/>
        </w:rPr>
        <w:t xml:space="preserve">, an increase of 10.49% from the end of the previous year; the balance of domestic and foreign currency deposits was </w:t>
      </w:r>
      <w:r w:rsidR="008F2C1A" w:rsidRPr="00D47F8C">
        <w:rPr>
          <w:sz w:val="24"/>
          <w:szCs w:val="24"/>
        </w:rPr>
        <w:t xml:space="preserve">RMB </w:t>
      </w:r>
      <w:r w:rsidRPr="00D47F8C">
        <w:rPr>
          <w:sz w:val="24"/>
          <w:szCs w:val="24"/>
        </w:rPr>
        <w:t xml:space="preserve">4,042.894 billion, an increase of 7.55% from the end of the previous year; the balance of loans in domestic and foreign currencies was </w:t>
      </w:r>
      <w:r w:rsidR="008F2C1A" w:rsidRPr="00D47F8C">
        <w:rPr>
          <w:sz w:val="24"/>
          <w:szCs w:val="24"/>
        </w:rPr>
        <w:t xml:space="preserve">RMB </w:t>
      </w:r>
      <w:r w:rsidRPr="00D47F8C">
        <w:rPr>
          <w:sz w:val="24"/>
          <w:szCs w:val="24"/>
        </w:rPr>
        <w:t xml:space="preserve">3,965.674 billion, an increase of 15.23% from the end of the previous year. Asset quality continued to improve. The Company's non-performing loan balance was </w:t>
      </w:r>
      <w:r w:rsidR="008F2C1A" w:rsidRPr="00D47F8C">
        <w:rPr>
          <w:sz w:val="24"/>
          <w:szCs w:val="24"/>
        </w:rPr>
        <w:t xml:space="preserve">RMB </w:t>
      </w:r>
      <w:r w:rsidRPr="00D47F8C">
        <w:rPr>
          <w:sz w:val="24"/>
          <w:szCs w:val="24"/>
        </w:rPr>
        <w:t xml:space="preserve">49.656 billion, a decrease of </w:t>
      </w:r>
      <w:r w:rsidR="008F2C1A" w:rsidRPr="00D47F8C">
        <w:rPr>
          <w:sz w:val="24"/>
          <w:szCs w:val="24"/>
        </w:rPr>
        <w:t xml:space="preserve">RMB </w:t>
      </w:r>
      <w:r w:rsidRPr="00D47F8C">
        <w:rPr>
          <w:sz w:val="24"/>
          <w:szCs w:val="24"/>
        </w:rPr>
        <w:t>3.366 billion from the end of the previous year; the non-performing loan ratio was 1.25%, a decrease of 0.29 percentage points from the end of the previous year; the provision coverage ratio was 218.83%, an increase of 19.70 percentage points from the end of the previous year.</w:t>
      </w:r>
    </w:p>
    <w:p w:rsidR="00266AB4" w:rsidRPr="00D47F8C" w:rsidRDefault="00266AB4">
      <w:pPr>
        <w:widowControl/>
        <w:tabs>
          <w:tab w:val="left" w:pos="360"/>
        </w:tabs>
        <w:spacing w:line="360" w:lineRule="auto"/>
        <w:ind w:firstLineChars="200" w:firstLine="480"/>
        <w:rPr>
          <w:color w:val="FF0000"/>
          <w:kern w:val="0"/>
          <w:sz w:val="24"/>
        </w:rPr>
      </w:pPr>
    </w:p>
    <w:p w:rsidR="00BC3641" w:rsidRPr="00D47F8C" w:rsidRDefault="00BC3641" w:rsidP="00BC3641">
      <w:pPr>
        <w:pStyle w:val="a7"/>
        <w:spacing w:after="0" w:afterAutospacing="0" w:line="360" w:lineRule="auto"/>
        <w:ind w:firstLineChars="200" w:firstLine="480"/>
        <w:jc w:val="both"/>
        <w:rPr>
          <w:rFonts w:ascii="Times New Roman" w:hAnsi="Times New Roman" w:cs="Times New Roman"/>
        </w:rPr>
      </w:pPr>
      <w:r w:rsidRPr="00D47F8C">
        <w:rPr>
          <w:rFonts w:ascii="Times New Roman" w:hAnsi="Times New Roman" w:cs="Times New Roman"/>
        </w:rPr>
        <w:t>III. Risk Warning</w:t>
      </w:r>
    </w:p>
    <w:p w:rsidR="00BC3641" w:rsidRPr="00D47F8C" w:rsidRDefault="00BC3641" w:rsidP="00BC3641">
      <w:pPr>
        <w:pStyle w:val="a7"/>
        <w:adjustRightInd w:val="0"/>
        <w:snapToGrid w:val="0"/>
        <w:spacing w:before="0" w:beforeAutospacing="0" w:after="0" w:afterAutospacing="0" w:line="360" w:lineRule="auto"/>
        <w:ind w:firstLineChars="200" w:firstLine="480"/>
        <w:jc w:val="both"/>
        <w:rPr>
          <w:rFonts w:ascii="Times New Roman" w:hAnsi="Times New Roman" w:cs="Times New Roman"/>
        </w:rPr>
      </w:pPr>
      <w:r w:rsidRPr="002163B4">
        <w:rPr>
          <w:rFonts w:ascii="Times New Roman" w:hAnsi="Times New Roman" w:cs="Times New Roman"/>
        </w:rPr>
        <w:t>The 2020 data contained in this announcement are preliminary accounting data of the group</w:t>
      </w:r>
      <w:r w:rsidRPr="00D47F8C">
        <w:rPr>
          <w:rFonts w:ascii="Times New Roman" w:hAnsi="Times New Roman" w:cs="Times New Roman"/>
        </w:rPr>
        <w:t>, which may be different from those disclosed in the 2020 annual report of the Company. However, the discrepancy above will not exceed 10%. Investors are advised to pay attention to investment risks.</w:t>
      </w:r>
    </w:p>
    <w:p w:rsidR="00BC3641" w:rsidRPr="00D47F8C" w:rsidRDefault="00BC3641" w:rsidP="006A777A">
      <w:pPr>
        <w:widowControl/>
        <w:tabs>
          <w:tab w:val="left" w:pos="360"/>
        </w:tabs>
        <w:spacing w:line="360" w:lineRule="auto"/>
        <w:ind w:firstLineChars="200" w:firstLine="480"/>
        <w:rPr>
          <w:color w:val="000000"/>
          <w:kern w:val="0"/>
          <w:sz w:val="24"/>
        </w:rPr>
      </w:pPr>
    </w:p>
    <w:p w:rsidR="00BC3641" w:rsidRPr="00D47F8C" w:rsidRDefault="00BC3641" w:rsidP="00BC3641">
      <w:pPr>
        <w:pStyle w:val="a7"/>
        <w:spacing w:after="0" w:afterAutospacing="0" w:line="360" w:lineRule="auto"/>
        <w:ind w:firstLineChars="200" w:firstLine="480"/>
        <w:rPr>
          <w:rFonts w:ascii="Times New Roman" w:hAnsi="Times New Roman" w:cs="Times New Roman"/>
        </w:rPr>
      </w:pPr>
      <w:r w:rsidRPr="00D47F8C">
        <w:rPr>
          <w:rFonts w:ascii="Times New Roman" w:hAnsi="Times New Roman" w:cs="Times New Roman"/>
        </w:rPr>
        <w:t>IV. Reference Documents</w:t>
      </w:r>
    </w:p>
    <w:p w:rsidR="00BC3641" w:rsidRPr="00D47F8C" w:rsidRDefault="00BC3641" w:rsidP="00BC3641">
      <w:pPr>
        <w:pStyle w:val="a7"/>
        <w:adjustRightInd w:val="0"/>
        <w:snapToGrid w:val="0"/>
        <w:spacing w:before="0" w:beforeAutospacing="0" w:after="0" w:afterAutospacing="0" w:line="360" w:lineRule="auto"/>
        <w:ind w:firstLineChars="200" w:firstLine="480"/>
        <w:jc w:val="both"/>
        <w:rPr>
          <w:rFonts w:ascii="Times New Roman" w:hAnsi="Times New Roman" w:cs="Times New Roman"/>
        </w:rPr>
      </w:pPr>
      <w:r w:rsidRPr="00D47F8C">
        <w:rPr>
          <w:rFonts w:ascii="Times New Roman" w:hAnsi="Times New Roman" w:cs="Times New Roman"/>
        </w:rPr>
        <w:t>The Comparative Balance Sheet and Profit Statement signed and stamped by the president of the Company (acting on behalf of the Legal Representative) and the head of the financial institution.</w:t>
      </w:r>
    </w:p>
    <w:p w:rsidR="00BC3641" w:rsidRPr="00D47F8C" w:rsidRDefault="00BC3641" w:rsidP="00BC3641">
      <w:pPr>
        <w:pStyle w:val="a7"/>
        <w:adjustRightInd w:val="0"/>
        <w:snapToGrid w:val="0"/>
        <w:spacing w:before="0" w:beforeAutospacing="0" w:after="0" w:afterAutospacing="0" w:line="440" w:lineRule="exact"/>
        <w:ind w:firstLineChars="200" w:firstLine="480"/>
        <w:rPr>
          <w:rFonts w:ascii="Times New Roman" w:hAnsi="Times New Roman" w:cs="Times New Roman"/>
        </w:rPr>
      </w:pPr>
      <w:proofErr w:type="gramStart"/>
      <w:r w:rsidRPr="00D47F8C">
        <w:rPr>
          <w:rFonts w:ascii="Times New Roman" w:hAnsi="Times New Roman" w:cs="Times New Roman"/>
        </w:rPr>
        <w:t>Hereby Announced.</w:t>
      </w:r>
      <w:proofErr w:type="gramEnd"/>
    </w:p>
    <w:p w:rsidR="00BC3641" w:rsidRPr="00D47F8C" w:rsidRDefault="00BC3641" w:rsidP="00BC3641">
      <w:pPr>
        <w:pStyle w:val="a7"/>
        <w:adjustRightInd w:val="0"/>
        <w:snapToGrid w:val="0"/>
        <w:spacing w:before="0" w:beforeAutospacing="0" w:after="0" w:afterAutospacing="0" w:line="360" w:lineRule="auto"/>
        <w:ind w:firstLineChars="200" w:firstLine="480"/>
        <w:rPr>
          <w:rFonts w:ascii="Times New Roman" w:hAnsi="Times New Roman" w:cs="Times New Roman"/>
        </w:rPr>
      </w:pPr>
    </w:p>
    <w:p w:rsidR="00BC3641" w:rsidRPr="00D47F8C" w:rsidRDefault="00BC3641" w:rsidP="00BC3641">
      <w:pPr>
        <w:pStyle w:val="a7"/>
        <w:adjustRightInd w:val="0"/>
        <w:snapToGrid w:val="0"/>
        <w:spacing w:before="0" w:beforeAutospacing="0" w:after="0" w:afterAutospacing="0" w:line="360" w:lineRule="auto"/>
        <w:ind w:firstLineChars="200" w:firstLine="480"/>
        <w:rPr>
          <w:rFonts w:ascii="Times New Roman" w:hAnsi="Times New Roman" w:cs="Times New Roman"/>
        </w:rPr>
      </w:pPr>
    </w:p>
    <w:p w:rsidR="00BC3641" w:rsidRPr="00D47F8C" w:rsidRDefault="00BC3641" w:rsidP="00BC3641">
      <w:pPr>
        <w:pStyle w:val="a7"/>
        <w:adjustRightInd w:val="0"/>
        <w:snapToGrid w:val="0"/>
        <w:spacing w:before="0" w:beforeAutospacing="0" w:after="0" w:afterAutospacing="0" w:line="480" w:lineRule="auto"/>
        <w:ind w:firstLineChars="200" w:firstLine="480"/>
        <w:jc w:val="right"/>
        <w:rPr>
          <w:rFonts w:ascii="Times New Roman" w:hAnsi="Times New Roman" w:cs="Times New Roman"/>
        </w:rPr>
      </w:pPr>
      <w:proofErr w:type="gramStart"/>
      <w:r w:rsidRPr="00D47F8C">
        <w:rPr>
          <w:rFonts w:ascii="Times New Roman" w:hAnsi="Times New Roman" w:cs="Times New Roman"/>
        </w:rPr>
        <w:t>Board of Directors of Industrial Bank Co., Ltd.</w:t>
      </w:r>
      <w:proofErr w:type="gramEnd"/>
    </w:p>
    <w:p w:rsidR="00BC3641" w:rsidRPr="00D47F8C" w:rsidRDefault="00BC3641" w:rsidP="006962C3">
      <w:pPr>
        <w:pStyle w:val="a7"/>
        <w:adjustRightInd w:val="0"/>
        <w:snapToGrid w:val="0"/>
        <w:spacing w:before="0" w:beforeAutospacing="0" w:after="0" w:afterAutospacing="0" w:line="360" w:lineRule="auto"/>
        <w:ind w:firstLineChars="2600" w:firstLine="6240"/>
        <w:jc w:val="both"/>
        <w:rPr>
          <w:rFonts w:ascii="Times New Roman" w:hAnsi="Times New Roman" w:cs="Times New Roman"/>
        </w:rPr>
      </w:pPr>
      <w:r w:rsidRPr="00D47F8C">
        <w:rPr>
          <w:rFonts w:ascii="Times New Roman" w:hAnsi="Times New Roman" w:cs="Times New Roman"/>
        </w:rPr>
        <w:t>January 14, 2021</w:t>
      </w:r>
      <w:bookmarkStart w:id="0" w:name="_GoBack"/>
      <w:bookmarkEnd w:id="0"/>
    </w:p>
    <w:sectPr w:rsidR="00BC3641" w:rsidRPr="00D47F8C">
      <w:footerReference w:type="even" r:id="rId8"/>
      <w:footerReference w:type="default" r:id="rId9"/>
      <w:pgSz w:w="11906" w:h="16838"/>
      <w:pgMar w:top="1247" w:right="1531" w:bottom="85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3B1" w:rsidRDefault="008163B1">
      <w:r>
        <w:separator/>
      </w:r>
    </w:p>
  </w:endnote>
  <w:endnote w:type="continuationSeparator" w:id="0">
    <w:p w:rsidR="008163B1" w:rsidRDefault="008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3A" w:rsidRDefault="00BF73B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52B3A" w:rsidRDefault="00E52B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3A" w:rsidRDefault="00BF73B9">
    <w:pPr>
      <w:pStyle w:val="a5"/>
      <w:jc w:val="center"/>
    </w:pPr>
    <w:r>
      <w:fldChar w:fldCharType="begin"/>
    </w:r>
    <w:r>
      <w:instrText xml:space="preserve"> PAGE   \* MERGEFORMAT </w:instrText>
    </w:r>
    <w:r>
      <w:fldChar w:fldCharType="separate"/>
    </w:r>
    <w:r w:rsidR="006962C3" w:rsidRPr="006962C3">
      <w:rPr>
        <w:noProof/>
        <w:lang w:val="zh-CN"/>
      </w:rPr>
      <w:t>3</w:t>
    </w:r>
    <w:r>
      <w:fldChar w:fldCharType="end"/>
    </w:r>
  </w:p>
  <w:p w:rsidR="00E52B3A" w:rsidRDefault="00E52B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3B1" w:rsidRDefault="008163B1">
      <w:r>
        <w:separator/>
      </w:r>
    </w:p>
  </w:footnote>
  <w:footnote w:type="continuationSeparator" w:id="0">
    <w:p w:rsidR="008163B1" w:rsidRDefault="008163B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大鹏">
    <w15:presenceInfo w15:providerId="None" w15:userId="李大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1593"/>
    <w:rsid w:val="00020EFA"/>
    <w:rsid w:val="00021802"/>
    <w:rsid w:val="00027D98"/>
    <w:rsid w:val="000328CB"/>
    <w:rsid w:val="0003520C"/>
    <w:rsid w:val="00040ACD"/>
    <w:rsid w:val="00046680"/>
    <w:rsid w:val="0005248C"/>
    <w:rsid w:val="00060F3F"/>
    <w:rsid w:val="00067D10"/>
    <w:rsid w:val="000A0ED6"/>
    <w:rsid w:val="000A2A24"/>
    <w:rsid w:val="000A2B10"/>
    <w:rsid w:val="000A487B"/>
    <w:rsid w:val="000A4DE1"/>
    <w:rsid w:val="000C53AD"/>
    <w:rsid w:val="000F4A02"/>
    <w:rsid w:val="000F4E9D"/>
    <w:rsid w:val="00102483"/>
    <w:rsid w:val="001125DD"/>
    <w:rsid w:val="001136CA"/>
    <w:rsid w:val="00114180"/>
    <w:rsid w:val="00114C2D"/>
    <w:rsid w:val="00120D2D"/>
    <w:rsid w:val="00121CBA"/>
    <w:rsid w:val="001259A5"/>
    <w:rsid w:val="001354AE"/>
    <w:rsid w:val="00135615"/>
    <w:rsid w:val="00136645"/>
    <w:rsid w:val="00172A27"/>
    <w:rsid w:val="00173A63"/>
    <w:rsid w:val="00176EDA"/>
    <w:rsid w:val="00181E13"/>
    <w:rsid w:val="00183A85"/>
    <w:rsid w:val="00183ED4"/>
    <w:rsid w:val="0018736A"/>
    <w:rsid w:val="001A2259"/>
    <w:rsid w:val="001C143E"/>
    <w:rsid w:val="001F0767"/>
    <w:rsid w:val="001F1D0F"/>
    <w:rsid w:val="001F50D2"/>
    <w:rsid w:val="001F5BEF"/>
    <w:rsid w:val="001F62DE"/>
    <w:rsid w:val="00203E87"/>
    <w:rsid w:val="00204744"/>
    <w:rsid w:val="00205F9B"/>
    <w:rsid w:val="00210510"/>
    <w:rsid w:val="002163B4"/>
    <w:rsid w:val="00217A95"/>
    <w:rsid w:val="00224351"/>
    <w:rsid w:val="002329B3"/>
    <w:rsid w:val="002332FA"/>
    <w:rsid w:val="002350DA"/>
    <w:rsid w:val="002437EE"/>
    <w:rsid w:val="0024383E"/>
    <w:rsid w:val="00250A8B"/>
    <w:rsid w:val="00253ADC"/>
    <w:rsid w:val="00266AB4"/>
    <w:rsid w:val="00274D49"/>
    <w:rsid w:val="00290BA3"/>
    <w:rsid w:val="002B17C5"/>
    <w:rsid w:val="002B236D"/>
    <w:rsid w:val="002B55D6"/>
    <w:rsid w:val="002B610C"/>
    <w:rsid w:val="002B7A7A"/>
    <w:rsid w:val="002D2573"/>
    <w:rsid w:val="002D4397"/>
    <w:rsid w:val="00301296"/>
    <w:rsid w:val="003051EF"/>
    <w:rsid w:val="00310B89"/>
    <w:rsid w:val="003151F4"/>
    <w:rsid w:val="00316903"/>
    <w:rsid w:val="00335B10"/>
    <w:rsid w:val="00335EC8"/>
    <w:rsid w:val="003463F3"/>
    <w:rsid w:val="00346CF1"/>
    <w:rsid w:val="00354B92"/>
    <w:rsid w:val="00354BFB"/>
    <w:rsid w:val="00360D2A"/>
    <w:rsid w:val="003747B5"/>
    <w:rsid w:val="003765FB"/>
    <w:rsid w:val="00381B14"/>
    <w:rsid w:val="003868A5"/>
    <w:rsid w:val="003B3A8C"/>
    <w:rsid w:val="003B4249"/>
    <w:rsid w:val="003C5BC9"/>
    <w:rsid w:val="003E369F"/>
    <w:rsid w:val="003F2BC2"/>
    <w:rsid w:val="003F62DC"/>
    <w:rsid w:val="0040607C"/>
    <w:rsid w:val="00423AB1"/>
    <w:rsid w:val="00435601"/>
    <w:rsid w:val="004441C7"/>
    <w:rsid w:val="0045324D"/>
    <w:rsid w:val="00453C67"/>
    <w:rsid w:val="00456981"/>
    <w:rsid w:val="0046590A"/>
    <w:rsid w:val="004734BA"/>
    <w:rsid w:val="004747CB"/>
    <w:rsid w:val="004754DD"/>
    <w:rsid w:val="004761AA"/>
    <w:rsid w:val="0048325F"/>
    <w:rsid w:val="00485CF1"/>
    <w:rsid w:val="00487B2F"/>
    <w:rsid w:val="00497C9C"/>
    <w:rsid w:val="004B5763"/>
    <w:rsid w:val="004B6745"/>
    <w:rsid w:val="004B7EC1"/>
    <w:rsid w:val="004D52AA"/>
    <w:rsid w:val="004E37C0"/>
    <w:rsid w:val="004E5192"/>
    <w:rsid w:val="005160BC"/>
    <w:rsid w:val="0052091C"/>
    <w:rsid w:val="005276EC"/>
    <w:rsid w:val="00541123"/>
    <w:rsid w:val="00541B82"/>
    <w:rsid w:val="0055192C"/>
    <w:rsid w:val="005523FF"/>
    <w:rsid w:val="00562D64"/>
    <w:rsid w:val="00564EF5"/>
    <w:rsid w:val="0057043B"/>
    <w:rsid w:val="0057584C"/>
    <w:rsid w:val="00584F62"/>
    <w:rsid w:val="00590DFB"/>
    <w:rsid w:val="005A05ED"/>
    <w:rsid w:val="005A2D04"/>
    <w:rsid w:val="005A76FC"/>
    <w:rsid w:val="005B00EA"/>
    <w:rsid w:val="005D336E"/>
    <w:rsid w:val="005D79D8"/>
    <w:rsid w:val="005F5E78"/>
    <w:rsid w:val="0060426D"/>
    <w:rsid w:val="0060568B"/>
    <w:rsid w:val="00615F18"/>
    <w:rsid w:val="0062077E"/>
    <w:rsid w:val="006416E1"/>
    <w:rsid w:val="0065601B"/>
    <w:rsid w:val="00661BA9"/>
    <w:rsid w:val="00666416"/>
    <w:rsid w:val="006679F7"/>
    <w:rsid w:val="00686072"/>
    <w:rsid w:val="006962C3"/>
    <w:rsid w:val="006A6734"/>
    <w:rsid w:val="006A777A"/>
    <w:rsid w:val="006B049E"/>
    <w:rsid w:val="006B4E3D"/>
    <w:rsid w:val="006C4536"/>
    <w:rsid w:val="006C7F35"/>
    <w:rsid w:val="006E0FB5"/>
    <w:rsid w:val="006E2D08"/>
    <w:rsid w:val="006E6C88"/>
    <w:rsid w:val="006F22DD"/>
    <w:rsid w:val="00702A72"/>
    <w:rsid w:val="00706C74"/>
    <w:rsid w:val="007100FD"/>
    <w:rsid w:val="00721966"/>
    <w:rsid w:val="00741E99"/>
    <w:rsid w:val="007513CD"/>
    <w:rsid w:val="00754E7D"/>
    <w:rsid w:val="007727CA"/>
    <w:rsid w:val="0078313E"/>
    <w:rsid w:val="00796FE0"/>
    <w:rsid w:val="007A1061"/>
    <w:rsid w:val="007B1BD4"/>
    <w:rsid w:val="007B5C00"/>
    <w:rsid w:val="007D003C"/>
    <w:rsid w:val="007D316A"/>
    <w:rsid w:val="007E1FF2"/>
    <w:rsid w:val="007F29C5"/>
    <w:rsid w:val="008017B6"/>
    <w:rsid w:val="00803209"/>
    <w:rsid w:val="00806178"/>
    <w:rsid w:val="008065AF"/>
    <w:rsid w:val="00807829"/>
    <w:rsid w:val="008163B1"/>
    <w:rsid w:val="00820732"/>
    <w:rsid w:val="00830233"/>
    <w:rsid w:val="008454D3"/>
    <w:rsid w:val="008515C7"/>
    <w:rsid w:val="008604DA"/>
    <w:rsid w:val="00861F75"/>
    <w:rsid w:val="00866C4C"/>
    <w:rsid w:val="00867AD1"/>
    <w:rsid w:val="008C215C"/>
    <w:rsid w:val="008D710A"/>
    <w:rsid w:val="008F2C1A"/>
    <w:rsid w:val="008F367D"/>
    <w:rsid w:val="00913A61"/>
    <w:rsid w:val="00913E6C"/>
    <w:rsid w:val="009152EA"/>
    <w:rsid w:val="00916AE4"/>
    <w:rsid w:val="00923826"/>
    <w:rsid w:val="00924788"/>
    <w:rsid w:val="0092530F"/>
    <w:rsid w:val="00933139"/>
    <w:rsid w:val="0094116C"/>
    <w:rsid w:val="009561F1"/>
    <w:rsid w:val="0096083F"/>
    <w:rsid w:val="00973288"/>
    <w:rsid w:val="0097545F"/>
    <w:rsid w:val="00981259"/>
    <w:rsid w:val="00995389"/>
    <w:rsid w:val="009B36E0"/>
    <w:rsid w:val="009B77C9"/>
    <w:rsid w:val="009C327E"/>
    <w:rsid w:val="009E4C59"/>
    <w:rsid w:val="009E5000"/>
    <w:rsid w:val="009F5A34"/>
    <w:rsid w:val="00A0710D"/>
    <w:rsid w:val="00A10518"/>
    <w:rsid w:val="00A10DCD"/>
    <w:rsid w:val="00A13122"/>
    <w:rsid w:val="00A14E39"/>
    <w:rsid w:val="00A16F91"/>
    <w:rsid w:val="00A334E2"/>
    <w:rsid w:val="00A342D2"/>
    <w:rsid w:val="00A52DD6"/>
    <w:rsid w:val="00A573DE"/>
    <w:rsid w:val="00A61519"/>
    <w:rsid w:val="00A66CE5"/>
    <w:rsid w:val="00A67F85"/>
    <w:rsid w:val="00A9489B"/>
    <w:rsid w:val="00A958B5"/>
    <w:rsid w:val="00A97BF0"/>
    <w:rsid w:val="00AA7971"/>
    <w:rsid w:val="00AD56E3"/>
    <w:rsid w:val="00B018C4"/>
    <w:rsid w:val="00B3088F"/>
    <w:rsid w:val="00B33EF6"/>
    <w:rsid w:val="00B3558C"/>
    <w:rsid w:val="00B45E4A"/>
    <w:rsid w:val="00B46105"/>
    <w:rsid w:val="00B5090F"/>
    <w:rsid w:val="00B71BB4"/>
    <w:rsid w:val="00B80ABB"/>
    <w:rsid w:val="00B86AF3"/>
    <w:rsid w:val="00B8779F"/>
    <w:rsid w:val="00B9444A"/>
    <w:rsid w:val="00BC1799"/>
    <w:rsid w:val="00BC3641"/>
    <w:rsid w:val="00BD6646"/>
    <w:rsid w:val="00BE774E"/>
    <w:rsid w:val="00BF1209"/>
    <w:rsid w:val="00BF73B9"/>
    <w:rsid w:val="00C04941"/>
    <w:rsid w:val="00C064FB"/>
    <w:rsid w:val="00C30C0C"/>
    <w:rsid w:val="00C314B1"/>
    <w:rsid w:val="00C34B5C"/>
    <w:rsid w:val="00C35EDD"/>
    <w:rsid w:val="00C36BE0"/>
    <w:rsid w:val="00C36C5D"/>
    <w:rsid w:val="00C40081"/>
    <w:rsid w:val="00C620CC"/>
    <w:rsid w:val="00C64E3B"/>
    <w:rsid w:val="00C8169E"/>
    <w:rsid w:val="00C8663A"/>
    <w:rsid w:val="00C95934"/>
    <w:rsid w:val="00CA5155"/>
    <w:rsid w:val="00CA7197"/>
    <w:rsid w:val="00CC3C14"/>
    <w:rsid w:val="00CE6115"/>
    <w:rsid w:val="00D1258D"/>
    <w:rsid w:val="00D270E8"/>
    <w:rsid w:val="00D33BA0"/>
    <w:rsid w:val="00D37A8D"/>
    <w:rsid w:val="00D454B8"/>
    <w:rsid w:val="00D47F8C"/>
    <w:rsid w:val="00D60E89"/>
    <w:rsid w:val="00D66498"/>
    <w:rsid w:val="00D66979"/>
    <w:rsid w:val="00D66D7A"/>
    <w:rsid w:val="00D74B89"/>
    <w:rsid w:val="00D8240F"/>
    <w:rsid w:val="00DA3184"/>
    <w:rsid w:val="00DC49D2"/>
    <w:rsid w:val="00DC568F"/>
    <w:rsid w:val="00DD4BBA"/>
    <w:rsid w:val="00E011E3"/>
    <w:rsid w:val="00E02111"/>
    <w:rsid w:val="00E036FE"/>
    <w:rsid w:val="00E13345"/>
    <w:rsid w:val="00E179CC"/>
    <w:rsid w:val="00E2368E"/>
    <w:rsid w:val="00E237BE"/>
    <w:rsid w:val="00E2394B"/>
    <w:rsid w:val="00E45567"/>
    <w:rsid w:val="00E45661"/>
    <w:rsid w:val="00E51631"/>
    <w:rsid w:val="00E52B3A"/>
    <w:rsid w:val="00E5582A"/>
    <w:rsid w:val="00E61907"/>
    <w:rsid w:val="00E67506"/>
    <w:rsid w:val="00E779B8"/>
    <w:rsid w:val="00E80DE0"/>
    <w:rsid w:val="00E93C87"/>
    <w:rsid w:val="00E97C90"/>
    <w:rsid w:val="00EA1D3D"/>
    <w:rsid w:val="00EB65FB"/>
    <w:rsid w:val="00EC627B"/>
    <w:rsid w:val="00ED6837"/>
    <w:rsid w:val="00F07107"/>
    <w:rsid w:val="00F109E0"/>
    <w:rsid w:val="00F3053A"/>
    <w:rsid w:val="00F316DC"/>
    <w:rsid w:val="00F35BDA"/>
    <w:rsid w:val="00F422B8"/>
    <w:rsid w:val="00F476C1"/>
    <w:rsid w:val="00F52781"/>
    <w:rsid w:val="00F56989"/>
    <w:rsid w:val="00F60922"/>
    <w:rsid w:val="00F61FBA"/>
    <w:rsid w:val="00F71A89"/>
    <w:rsid w:val="00F72BA3"/>
    <w:rsid w:val="00F735CF"/>
    <w:rsid w:val="00F80281"/>
    <w:rsid w:val="00F816FE"/>
    <w:rsid w:val="00F938BA"/>
    <w:rsid w:val="00F96446"/>
    <w:rsid w:val="00F96725"/>
    <w:rsid w:val="00FB39BD"/>
    <w:rsid w:val="00FB4A4B"/>
    <w:rsid w:val="00FB6B98"/>
    <w:rsid w:val="00FC6F75"/>
    <w:rsid w:val="00FC7B50"/>
    <w:rsid w:val="00FD7E2B"/>
    <w:rsid w:val="00FF2723"/>
    <w:rsid w:val="00FF5928"/>
    <w:rsid w:val="4F0A4CD3"/>
    <w:rsid w:val="5A8818A3"/>
    <w:rsid w:val="71B62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2"/>
    <w:rPr>
      <w:b/>
      <w:bCs/>
    </w:rPr>
  </w:style>
  <w:style w:type="character" w:styleId="a9">
    <w:name w:val="page number"/>
    <w:basedOn w:val="a0"/>
    <w:qFormat/>
  </w:style>
  <w:style w:type="character" w:styleId="aa">
    <w:name w:val="annotation reference"/>
    <w:rPr>
      <w:sz w:val="16"/>
      <w:szCs w:val="16"/>
    </w:rPr>
  </w:style>
  <w:style w:type="character" w:customStyle="1" w:styleId="Char1">
    <w:name w:val="页脚 Char"/>
    <w:link w:val="a5"/>
    <w:uiPriority w:val="99"/>
    <w:rPr>
      <w:kern w:val="2"/>
      <w:sz w:val="18"/>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0">
    <w:name w:val="批注框文本 Char"/>
    <w:link w:val="a4"/>
    <w:rPr>
      <w:kern w:val="2"/>
      <w:sz w:val="18"/>
      <w:szCs w:val="18"/>
    </w:rPr>
  </w:style>
  <w:style w:type="character" w:customStyle="1" w:styleId="3Char">
    <w:name w:val="标题 3 Char"/>
    <w:link w:val="3"/>
    <w:rPr>
      <w:b/>
      <w:bCs/>
      <w:kern w:val="2"/>
      <w:sz w:val="32"/>
      <w:szCs w:val="32"/>
    </w:rPr>
  </w:style>
  <w:style w:type="character" w:customStyle="1" w:styleId="Char">
    <w:name w:val="批注文字 Char"/>
    <w:link w:val="a3"/>
    <w:qFormat/>
    <w:rPr>
      <w:kern w:val="2"/>
    </w:rPr>
  </w:style>
  <w:style w:type="character" w:customStyle="1" w:styleId="Char2">
    <w:name w:val="批注主题 Char"/>
    <w:link w:val="a8"/>
    <w:rPr>
      <w:b/>
      <w:bCs/>
      <w:kern w:val="2"/>
    </w:rPr>
  </w:style>
  <w:style w:type="paragraph" w:styleId="ab">
    <w:name w:val="Date"/>
    <w:basedOn w:val="a"/>
    <w:next w:val="a"/>
    <w:link w:val="Char3"/>
    <w:rsid w:val="00BC3641"/>
    <w:pPr>
      <w:ind w:leftChars="2500" w:left="100"/>
    </w:pPr>
  </w:style>
  <w:style w:type="character" w:customStyle="1" w:styleId="Char3">
    <w:name w:val="日期 Char"/>
    <w:basedOn w:val="a0"/>
    <w:link w:val="ab"/>
    <w:rsid w:val="00BC3641"/>
    <w:rPr>
      <w:kern w:val="2"/>
      <w:sz w:val="21"/>
    </w:rPr>
  </w:style>
  <w:style w:type="character" w:styleId="ac">
    <w:name w:val="Hyperlink"/>
    <w:basedOn w:val="a0"/>
    <w:uiPriority w:val="99"/>
    <w:unhideWhenUsed/>
    <w:rsid w:val="000352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Pr>
      <w:sz w:val="20"/>
    </w:rPr>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2"/>
    <w:rPr>
      <w:b/>
      <w:bCs/>
    </w:rPr>
  </w:style>
  <w:style w:type="character" w:styleId="a9">
    <w:name w:val="page number"/>
    <w:basedOn w:val="a0"/>
    <w:qFormat/>
  </w:style>
  <w:style w:type="character" w:styleId="aa">
    <w:name w:val="annotation reference"/>
    <w:rPr>
      <w:sz w:val="16"/>
      <w:szCs w:val="16"/>
    </w:rPr>
  </w:style>
  <w:style w:type="character" w:customStyle="1" w:styleId="Char1">
    <w:name w:val="页脚 Char"/>
    <w:link w:val="a5"/>
    <w:uiPriority w:val="99"/>
    <w:rPr>
      <w:kern w:val="2"/>
      <w:sz w:val="18"/>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0">
    <w:name w:val="批注框文本 Char"/>
    <w:link w:val="a4"/>
    <w:rPr>
      <w:kern w:val="2"/>
      <w:sz w:val="18"/>
      <w:szCs w:val="18"/>
    </w:rPr>
  </w:style>
  <w:style w:type="character" w:customStyle="1" w:styleId="3Char">
    <w:name w:val="标题 3 Char"/>
    <w:link w:val="3"/>
    <w:rPr>
      <w:b/>
      <w:bCs/>
      <w:kern w:val="2"/>
      <w:sz w:val="32"/>
      <w:szCs w:val="32"/>
    </w:rPr>
  </w:style>
  <w:style w:type="character" w:customStyle="1" w:styleId="Char">
    <w:name w:val="批注文字 Char"/>
    <w:link w:val="a3"/>
    <w:qFormat/>
    <w:rPr>
      <w:kern w:val="2"/>
    </w:rPr>
  </w:style>
  <w:style w:type="character" w:customStyle="1" w:styleId="Char2">
    <w:name w:val="批注主题 Char"/>
    <w:link w:val="a8"/>
    <w:rPr>
      <w:b/>
      <w:bCs/>
      <w:kern w:val="2"/>
    </w:rPr>
  </w:style>
  <w:style w:type="paragraph" w:styleId="ab">
    <w:name w:val="Date"/>
    <w:basedOn w:val="a"/>
    <w:next w:val="a"/>
    <w:link w:val="Char3"/>
    <w:rsid w:val="00BC3641"/>
    <w:pPr>
      <w:ind w:leftChars="2500" w:left="100"/>
    </w:pPr>
  </w:style>
  <w:style w:type="character" w:customStyle="1" w:styleId="Char3">
    <w:name w:val="日期 Char"/>
    <w:basedOn w:val="a0"/>
    <w:link w:val="ab"/>
    <w:rsid w:val="00BC3641"/>
    <w:rPr>
      <w:kern w:val="2"/>
      <w:sz w:val="21"/>
    </w:rPr>
  </w:style>
  <w:style w:type="character" w:styleId="ac">
    <w:name w:val="Hyperlink"/>
    <w:basedOn w:val="a0"/>
    <w:uiPriority w:val="99"/>
    <w:unhideWhenUsed/>
    <w:rsid w:val="00035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3</Pages>
  <Words>717</Words>
  <Characters>4092</Characters>
  <Application>Microsoft Office Word</Application>
  <DocSecurity>0</DocSecurity>
  <Lines>34</Lines>
  <Paragraphs>9</Paragraphs>
  <ScaleCrop>false</ScaleCrop>
  <Company>sse</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第二十二号 上市公司重大事项停牌公告</dc:title>
  <dc:creator>user</dc:creator>
  <cp:lastModifiedBy>MTS-20150320</cp:lastModifiedBy>
  <cp:revision>29</cp:revision>
  <cp:lastPrinted>2021-01-14T06:30:00Z</cp:lastPrinted>
  <dcterms:created xsi:type="dcterms:W3CDTF">2021-01-14T02:06:00Z</dcterms:created>
  <dcterms:modified xsi:type="dcterms:W3CDTF">2021-04-22T06:40:00Z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