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22" w:rsidRPr="00B30327" w:rsidRDefault="00A33E22" w:rsidP="00A33E22">
      <w:pPr>
        <w:spacing w:line="500" w:lineRule="exact"/>
        <w:rPr>
          <w:b/>
          <w:szCs w:val="21"/>
        </w:rPr>
      </w:pPr>
      <w:r w:rsidRPr="00B30327">
        <w:rPr>
          <w:b/>
          <w:bCs/>
          <w:szCs w:val="21"/>
        </w:rPr>
        <w:t xml:space="preserve">Code of A share: 601166   Abbreviation of </w:t>
      </w:r>
      <w:proofErr w:type="gramStart"/>
      <w:r w:rsidRPr="00B30327">
        <w:rPr>
          <w:b/>
          <w:bCs/>
          <w:szCs w:val="21"/>
        </w:rPr>
        <w:t>A</w:t>
      </w:r>
      <w:proofErr w:type="gramEnd"/>
      <w:r w:rsidRPr="00B30327">
        <w:rPr>
          <w:b/>
          <w:bCs/>
          <w:szCs w:val="21"/>
        </w:rPr>
        <w:t xml:space="preserve"> Share: Industrial Bank   Code: TEMP 2021-008</w:t>
      </w:r>
    </w:p>
    <w:p w:rsidR="00A33E22" w:rsidRPr="00B30327" w:rsidRDefault="00A33E22" w:rsidP="00A33E22">
      <w:pPr>
        <w:spacing w:line="500" w:lineRule="exact"/>
        <w:jc w:val="left"/>
        <w:rPr>
          <w:b/>
          <w:sz w:val="24"/>
          <w:szCs w:val="28"/>
        </w:rPr>
      </w:pPr>
      <w:r w:rsidRPr="00B30327">
        <w:rPr>
          <w:b/>
          <w:bCs/>
          <w:szCs w:val="21"/>
        </w:rPr>
        <w:t>Code of Preferred Stock:</w:t>
      </w:r>
      <w:r w:rsidRPr="00B30327">
        <w:rPr>
          <w:szCs w:val="21"/>
        </w:rPr>
        <w:t xml:space="preserve"> </w:t>
      </w:r>
      <w:r w:rsidRPr="00B30327">
        <w:rPr>
          <w:b/>
          <w:bCs/>
          <w:szCs w:val="21"/>
        </w:rPr>
        <w:t xml:space="preserve">360005, 360012, </w:t>
      </w:r>
      <w:proofErr w:type="gramStart"/>
      <w:r w:rsidRPr="00B30327">
        <w:rPr>
          <w:b/>
          <w:bCs/>
          <w:szCs w:val="21"/>
        </w:rPr>
        <w:t>360032</w:t>
      </w:r>
      <w:proofErr w:type="gramEnd"/>
      <w:r w:rsidRPr="00B30327">
        <w:rPr>
          <w:b/>
          <w:bCs/>
          <w:szCs w:val="21"/>
        </w:rPr>
        <w:t xml:space="preserve">   Abbreviation of Preferred Stocks:</w:t>
      </w:r>
      <w:r w:rsidRPr="00B30327">
        <w:rPr>
          <w:szCs w:val="21"/>
        </w:rPr>
        <w:t xml:space="preserve"> </w:t>
      </w:r>
      <w:r w:rsidRPr="00B30327">
        <w:rPr>
          <w:b/>
          <w:bCs/>
          <w:szCs w:val="21"/>
        </w:rPr>
        <w:t>Industrial Preferred 1, Industrial Preferred 2, Industrial Preferred 3</w:t>
      </w:r>
    </w:p>
    <w:p w:rsidR="00420E76" w:rsidRPr="00B30327" w:rsidRDefault="00420E76">
      <w:pPr>
        <w:spacing w:line="500" w:lineRule="exact"/>
        <w:jc w:val="left"/>
        <w:rPr>
          <w:rFonts w:eastAsia="仿宋_GB2312"/>
          <w:b/>
          <w:sz w:val="32"/>
          <w:szCs w:val="32"/>
        </w:rPr>
      </w:pPr>
    </w:p>
    <w:p w:rsidR="00A33E22" w:rsidRPr="00B11417" w:rsidRDefault="00A33E22" w:rsidP="00A33E22">
      <w:pPr>
        <w:jc w:val="center"/>
        <w:rPr>
          <w:rFonts w:eastAsia="黑体"/>
          <w:color w:val="FF0000"/>
          <w:sz w:val="44"/>
          <w:szCs w:val="44"/>
        </w:rPr>
      </w:pPr>
      <w:r w:rsidRPr="00B11417">
        <w:rPr>
          <w:rFonts w:eastAsia="黑体"/>
          <w:color w:val="FF0000"/>
          <w:sz w:val="44"/>
          <w:szCs w:val="44"/>
        </w:rPr>
        <w:t>Industrial Bank Co., Ltd.</w:t>
      </w:r>
    </w:p>
    <w:p w:rsidR="006E4665" w:rsidRPr="00B11417" w:rsidRDefault="006E4665" w:rsidP="006E4665">
      <w:pPr>
        <w:jc w:val="center"/>
        <w:rPr>
          <w:rFonts w:eastAsia="黑体"/>
          <w:color w:val="FF0000"/>
          <w:sz w:val="44"/>
          <w:szCs w:val="44"/>
        </w:rPr>
      </w:pPr>
      <w:r w:rsidRPr="00B11417">
        <w:rPr>
          <w:rFonts w:eastAsia="黑体"/>
          <w:color w:val="FF0000"/>
          <w:sz w:val="44"/>
          <w:szCs w:val="44"/>
        </w:rPr>
        <w:t>Announcement on Giving the People</w:t>
      </w:r>
      <w:r w:rsidR="00C031CB" w:rsidRPr="00C031CB">
        <w:rPr>
          <w:rFonts w:eastAsia="黑体"/>
          <w:color w:val="FF0000"/>
          <w:sz w:val="44"/>
          <w:szCs w:val="44"/>
        </w:rPr>
        <w:t>’</w:t>
      </w:r>
      <w:r w:rsidRPr="00B11417">
        <w:rPr>
          <w:rFonts w:eastAsia="黑体"/>
          <w:color w:val="FF0000"/>
          <w:sz w:val="44"/>
          <w:szCs w:val="44"/>
        </w:rPr>
        <w:t>s Insurance Company (Group) of China Limited Series Related Transaction Quota</w:t>
      </w:r>
    </w:p>
    <w:p w:rsidR="00420E76" w:rsidRPr="00B30327" w:rsidRDefault="00420E76">
      <w:pPr>
        <w:spacing w:line="420" w:lineRule="exact"/>
        <w:ind w:firstLine="570"/>
        <w:rPr>
          <w:sz w:val="24"/>
        </w:rPr>
      </w:pPr>
    </w:p>
    <w:p w:rsidR="00A33E22" w:rsidRPr="00B30327" w:rsidRDefault="00A33E22" w:rsidP="00A33E22">
      <w:pPr>
        <w:spacing w:line="360" w:lineRule="auto"/>
        <w:ind w:firstLine="570"/>
        <w:rPr>
          <w:sz w:val="24"/>
        </w:rPr>
      </w:pPr>
      <w:r w:rsidRPr="00B30327">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420E76" w:rsidRPr="00B30327" w:rsidRDefault="00420E76">
      <w:pPr>
        <w:spacing w:line="360" w:lineRule="auto"/>
        <w:ind w:firstLine="570"/>
        <w:rPr>
          <w:b/>
          <w:sz w:val="24"/>
        </w:rPr>
      </w:pPr>
    </w:p>
    <w:p w:rsidR="00A33E22" w:rsidRPr="00B30327" w:rsidRDefault="00A33E22" w:rsidP="00A33E22">
      <w:pPr>
        <w:pStyle w:val="Default"/>
        <w:spacing w:line="360" w:lineRule="auto"/>
        <w:ind w:firstLineChars="200" w:firstLine="482"/>
        <w:jc w:val="both"/>
        <w:rPr>
          <w:rFonts w:ascii="Times New Roman" w:hAnsi="Times New Roman" w:cs="Times New Roman"/>
          <w:b/>
        </w:rPr>
      </w:pPr>
      <w:r w:rsidRPr="00B30327">
        <w:rPr>
          <w:rFonts w:ascii="Times New Roman" w:hAnsi="Times New Roman" w:cs="Times New Roman"/>
          <w:b/>
        </w:rPr>
        <w:t>Prompt of Important Content</w:t>
      </w:r>
    </w:p>
    <w:p w:rsidR="006E4665" w:rsidRPr="00B30327" w:rsidRDefault="006E4665" w:rsidP="006E4665">
      <w:pPr>
        <w:spacing w:line="360" w:lineRule="auto"/>
        <w:ind w:firstLine="570"/>
        <w:rPr>
          <w:sz w:val="24"/>
        </w:rPr>
      </w:pPr>
      <w:r w:rsidRPr="00B30327">
        <w:rPr>
          <w:sz w:val="24"/>
        </w:rPr>
        <w:t xml:space="preserve">On March 30, 2021, the 27th Meeting of the 9th Board of Directors of the Company reviewed and agreed to give the Related Legal Persons of the People’s Insurance Company (Group) of China Limited </w:t>
      </w:r>
      <w:r w:rsidR="006D6934" w:rsidRPr="00B30327">
        <w:rPr>
          <w:sz w:val="24"/>
        </w:rPr>
        <w:t>S</w:t>
      </w:r>
      <w:r w:rsidRPr="00B30327">
        <w:rPr>
          <w:sz w:val="24"/>
        </w:rPr>
        <w:t xml:space="preserve">eries (hereinafter referred to as </w:t>
      </w:r>
      <w:r w:rsidRPr="00B30327">
        <w:rPr>
          <w:color w:val="000000"/>
          <w:kern w:val="0"/>
          <w:sz w:val="24"/>
          <w:lang w:val=""/>
        </w:rPr>
        <w:t>“</w:t>
      </w:r>
      <w:r w:rsidRPr="00B30327">
        <w:rPr>
          <w:sz w:val="24"/>
        </w:rPr>
        <w:t>Related Legal Persons of PICC Series</w:t>
      </w:r>
      <w:r w:rsidRPr="00B30327">
        <w:rPr>
          <w:color w:val="000000"/>
          <w:kern w:val="0"/>
          <w:sz w:val="24"/>
          <w:lang w:val=""/>
        </w:rPr>
        <w:t>”</w:t>
      </w:r>
      <w:r w:rsidR="006D6934" w:rsidRPr="00B30327">
        <w:rPr>
          <w:sz w:val="24"/>
        </w:rPr>
        <w:t xml:space="preserve">) </w:t>
      </w:r>
      <w:r w:rsidRPr="00B30327">
        <w:rPr>
          <w:sz w:val="24"/>
        </w:rPr>
        <w:t xml:space="preserve">credit related transaction quota of RMB 54 billion and non-credit related transaction quota of RMB 25.6 billion, with a validity period of 3 years. Related director Mr. Fu </w:t>
      </w:r>
      <w:proofErr w:type="spellStart"/>
      <w:r w:rsidRPr="00B30327">
        <w:rPr>
          <w:sz w:val="24"/>
        </w:rPr>
        <w:t>Anping</w:t>
      </w:r>
      <w:proofErr w:type="spellEnd"/>
      <w:r w:rsidRPr="00B30327">
        <w:rPr>
          <w:sz w:val="24"/>
        </w:rPr>
        <w:t xml:space="preserve"> has abstained from voting. The above-mentioned related transactions are reasonable transactions in the Company</w:t>
      </w:r>
      <w:r w:rsidR="00C031CB" w:rsidRPr="00B30327">
        <w:rPr>
          <w:sz w:val="24"/>
        </w:rPr>
        <w:t>’</w:t>
      </w:r>
      <w:r w:rsidRPr="00B30327">
        <w:rPr>
          <w:sz w:val="24"/>
        </w:rPr>
        <w:t>s daily business operations, which exert no significant impacts on the Company</w:t>
      </w:r>
      <w:r w:rsidR="00C031CB" w:rsidRPr="00B30327">
        <w:rPr>
          <w:sz w:val="24"/>
        </w:rPr>
        <w:t>’</w:t>
      </w:r>
      <w:r w:rsidRPr="00B30327">
        <w:rPr>
          <w:sz w:val="24"/>
        </w:rPr>
        <w:t>s business activities and financial status, and will not affect the Company</w:t>
      </w:r>
      <w:r w:rsidR="00C031CB" w:rsidRPr="00B30327">
        <w:rPr>
          <w:sz w:val="24"/>
        </w:rPr>
        <w:t>’</w:t>
      </w:r>
      <w:r w:rsidRPr="00B30327">
        <w:rPr>
          <w:sz w:val="24"/>
        </w:rPr>
        <w:t>s independence. The above-mentioned related transaction matters still need to be submitted to the Company</w:t>
      </w:r>
      <w:r w:rsidR="00C031CB" w:rsidRPr="00B30327">
        <w:rPr>
          <w:sz w:val="24"/>
        </w:rPr>
        <w:t>’</w:t>
      </w:r>
      <w:r w:rsidRPr="00B30327">
        <w:rPr>
          <w:sz w:val="24"/>
        </w:rPr>
        <w:t>s general meeting of shareholders for deliberation, and the relevant related shareholders will withdraw from voting on the proposal of the Company</w:t>
      </w:r>
      <w:r w:rsidR="00C031CB" w:rsidRPr="00B30327">
        <w:rPr>
          <w:sz w:val="24"/>
        </w:rPr>
        <w:t>’</w:t>
      </w:r>
      <w:r w:rsidRPr="00B30327">
        <w:rPr>
          <w:sz w:val="24"/>
        </w:rPr>
        <w:t>s general meeting of shareholders to consider this related transaction.</w:t>
      </w:r>
    </w:p>
    <w:p w:rsidR="00A33E22" w:rsidRPr="00B30327" w:rsidRDefault="00A33E22">
      <w:pPr>
        <w:pStyle w:val="Default"/>
        <w:spacing w:line="360" w:lineRule="auto"/>
        <w:ind w:firstLineChars="200" w:firstLine="482"/>
        <w:jc w:val="both"/>
        <w:rPr>
          <w:rFonts w:ascii="Times New Roman" w:hAnsi="Times New Roman" w:cs="Times New Roman"/>
          <w:b/>
          <w:iCs/>
        </w:rPr>
      </w:pPr>
    </w:p>
    <w:p w:rsidR="00A33E22" w:rsidRPr="00B30327" w:rsidRDefault="00A33E22" w:rsidP="00A33E22">
      <w:pPr>
        <w:pStyle w:val="Default"/>
        <w:spacing w:line="360" w:lineRule="auto"/>
        <w:ind w:firstLineChars="200" w:firstLine="482"/>
        <w:rPr>
          <w:rFonts w:ascii="Times New Roman" w:hAnsi="Times New Roman" w:cs="Times New Roman"/>
          <w:b/>
          <w:iCs/>
        </w:rPr>
      </w:pPr>
      <w:r w:rsidRPr="00B30327">
        <w:rPr>
          <w:rFonts w:ascii="Times New Roman" w:hAnsi="Times New Roman" w:cs="Times New Roman"/>
          <w:b/>
          <w:bCs/>
        </w:rPr>
        <w:t>I. Overview of Related Transaction</w:t>
      </w:r>
    </w:p>
    <w:p w:rsidR="00A33E22" w:rsidRPr="00B30327" w:rsidRDefault="00A33E22" w:rsidP="00A33E22">
      <w:pPr>
        <w:autoSpaceDE w:val="0"/>
        <w:autoSpaceDN w:val="0"/>
        <w:adjustRightInd w:val="0"/>
        <w:spacing w:line="360" w:lineRule="auto"/>
        <w:ind w:firstLineChars="200" w:firstLine="480"/>
        <w:rPr>
          <w:iCs/>
          <w:color w:val="000000"/>
          <w:sz w:val="24"/>
        </w:rPr>
      </w:pPr>
      <w:r w:rsidRPr="00B30327">
        <w:rPr>
          <w:sz w:val="24"/>
        </w:rPr>
        <w:t xml:space="preserve">The 27th Meeting of the 9th Board of Directors of the Company reviewed and </w:t>
      </w:r>
      <w:r w:rsidRPr="00B30327">
        <w:rPr>
          <w:color w:val="000000"/>
          <w:kern w:val="0"/>
          <w:sz w:val="24"/>
          <w:lang w:val=""/>
        </w:rPr>
        <w:t>approved</w:t>
      </w:r>
      <w:r w:rsidRPr="00B30327">
        <w:rPr>
          <w:sz w:val="24"/>
        </w:rPr>
        <w:t xml:space="preserve"> the </w:t>
      </w:r>
      <w:r w:rsidRPr="00B30327">
        <w:rPr>
          <w:i/>
          <w:sz w:val="24"/>
        </w:rPr>
        <w:t xml:space="preserve">Proposal on </w:t>
      </w:r>
      <w:r w:rsidR="008579E1" w:rsidRPr="00B32BA5">
        <w:rPr>
          <w:i/>
          <w:sz w:val="24"/>
        </w:rPr>
        <w:t>Giving Related Transaction Quota to certain Related Parties</w:t>
      </w:r>
      <w:r w:rsidRPr="00B30327">
        <w:rPr>
          <w:sz w:val="24"/>
        </w:rPr>
        <w:t xml:space="preserve">, agreed to give the </w:t>
      </w:r>
      <w:r w:rsidR="006E4665" w:rsidRPr="00B30327">
        <w:rPr>
          <w:sz w:val="24"/>
        </w:rPr>
        <w:t>Related Legal Persons of PICC Series</w:t>
      </w:r>
      <w:r w:rsidRPr="00B30327">
        <w:rPr>
          <w:sz w:val="24"/>
        </w:rPr>
        <w:t xml:space="preserve"> </w:t>
      </w:r>
      <w:r w:rsidR="00DF263F" w:rsidRPr="00B30327">
        <w:rPr>
          <w:sz w:val="24"/>
        </w:rPr>
        <w:t xml:space="preserve">related transaction quota of </w:t>
      </w:r>
      <w:r w:rsidRPr="00B30327">
        <w:rPr>
          <w:sz w:val="24"/>
        </w:rPr>
        <w:t xml:space="preserve">RMB 79.6 billion, </w:t>
      </w:r>
      <w:r w:rsidR="00DF263F" w:rsidRPr="00B30327">
        <w:rPr>
          <w:sz w:val="24"/>
        </w:rPr>
        <w:t>with a validity period of 3 years</w:t>
      </w:r>
      <w:r w:rsidRPr="00B30327">
        <w:rPr>
          <w:sz w:val="24"/>
        </w:rPr>
        <w:t>, i</w:t>
      </w:r>
      <w:r w:rsidRPr="00B30327">
        <w:rPr>
          <w:iCs/>
          <w:color w:val="000000"/>
          <w:sz w:val="24"/>
        </w:rPr>
        <w:t>ncluding</w:t>
      </w:r>
      <w:r w:rsidRPr="00B30327">
        <w:rPr>
          <w:sz w:val="24"/>
        </w:rPr>
        <w:t xml:space="preserve">: </w:t>
      </w:r>
      <w:r w:rsidRPr="00B30327">
        <w:rPr>
          <w:iCs/>
          <w:color w:val="000000"/>
          <w:sz w:val="24"/>
        </w:rPr>
        <w:t>credit related transaction quota</w:t>
      </w:r>
      <w:r w:rsidR="00DF263F" w:rsidRPr="00B30327">
        <w:rPr>
          <w:iCs/>
          <w:color w:val="000000"/>
          <w:sz w:val="24"/>
        </w:rPr>
        <w:t xml:space="preserve"> of RMB 54 billion</w:t>
      </w:r>
      <w:r w:rsidRPr="00B30327">
        <w:rPr>
          <w:iCs/>
          <w:color w:val="000000"/>
          <w:sz w:val="24"/>
        </w:rPr>
        <w:t xml:space="preserve"> for </w:t>
      </w:r>
      <w:r w:rsidR="00F272C8" w:rsidRPr="00B30327">
        <w:rPr>
          <w:iCs/>
          <w:color w:val="000000"/>
          <w:sz w:val="24"/>
        </w:rPr>
        <w:t>the People’s Insurance Company (Group) of China Limited</w:t>
      </w:r>
      <w:r w:rsidRPr="00B30327">
        <w:rPr>
          <w:iCs/>
          <w:color w:val="000000"/>
          <w:sz w:val="24"/>
        </w:rPr>
        <w:t xml:space="preserve"> and its affiliated companies to carry out various short, medium and long term businesses</w:t>
      </w:r>
      <w:r w:rsidRPr="00B30327">
        <w:rPr>
          <w:sz w:val="24"/>
        </w:rPr>
        <w:t>;</w:t>
      </w:r>
      <w:r w:rsidRPr="00B30327">
        <w:rPr>
          <w:iCs/>
          <w:color w:val="000000"/>
          <w:sz w:val="24"/>
        </w:rPr>
        <w:t xml:space="preserve"> </w:t>
      </w:r>
      <w:r w:rsidR="00F272C8" w:rsidRPr="00B30327">
        <w:rPr>
          <w:iCs/>
          <w:color w:val="000000"/>
          <w:sz w:val="24"/>
        </w:rPr>
        <w:t>non-credit related translation quota</w:t>
      </w:r>
      <w:r w:rsidR="00DF263F" w:rsidRPr="00B30327">
        <w:rPr>
          <w:iCs/>
          <w:color w:val="000000"/>
          <w:sz w:val="24"/>
        </w:rPr>
        <w:t xml:space="preserve"> of RMB 25.6 billion</w:t>
      </w:r>
      <w:r w:rsidR="00F272C8" w:rsidRPr="00B30327">
        <w:rPr>
          <w:iCs/>
          <w:color w:val="000000"/>
          <w:sz w:val="24"/>
        </w:rPr>
        <w:t xml:space="preserve"> with transaction types of customized wealth management, credit asset transfer, capital business, insurance services, agent sales of insurance products, investment in insurance asset management products, asset custody, and other comprehensive services.</w:t>
      </w:r>
    </w:p>
    <w:p w:rsidR="00A33E22" w:rsidRPr="00B30327" w:rsidRDefault="00A33E22" w:rsidP="00A33E22">
      <w:pPr>
        <w:autoSpaceDE w:val="0"/>
        <w:autoSpaceDN w:val="0"/>
        <w:adjustRightInd w:val="0"/>
        <w:spacing w:line="360" w:lineRule="auto"/>
        <w:ind w:firstLineChars="200" w:firstLine="480"/>
        <w:rPr>
          <w:color w:val="434343"/>
          <w:szCs w:val="21"/>
          <w:shd w:val="clear" w:color="auto" w:fill="FCFCFE"/>
        </w:rPr>
      </w:pPr>
      <w:r w:rsidRPr="00B30327">
        <w:rPr>
          <w:sz w:val="24"/>
        </w:rPr>
        <w:t xml:space="preserve">The related transaction quota between the Company and the </w:t>
      </w:r>
      <w:r w:rsidR="00DF263F" w:rsidRPr="00B30327">
        <w:rPr>
          <w:sz w:val="24"/>
        </w:rPr>
        <w:t>Related Legal Persons of PICC Series</w:t>
      </w:r>
      <w:r w:rsidRPr="00B30327">
        <w:rPr>
          <w:sz w:val="24"/>
        </w:rPr>
        <w:t xml:space="preserve"> this time exceeds 5% of the audited net assets of the Company Group in the nearest period, which makes it a substantive related transaction. The </w:t>
      </w:r>
      <w:r w:rsidR="00DF263F" w:rsidRPr="00B30327">
        <w:rPr>
          <w:sz w:val="24"/>
        </w:rPr>
        <w:t>above-mentioned related transaction matters</w:t>
      </w:r>
      <w:r w:rsidRPr="00B30327">
        <w:rPr>
          <w:sz w:val="24"/>
        </w:rPr>
        <w:t xml:space="preserve"> have been audited by the Board of Directors of the Company, reviewed by the Related Transaction Control Committee and reviewed and </w:t>
      </w:r>
      <w:r w:rsidRPr="00B30327">
        <w:rPr>
          <w:color w:val="000000"/>
          <w:kern w:val="0"/>
          <w:sz w:val="24"/>
          <w:lang w:val=""/>
        </w:rPr>
        <w:t>approved</w:t>
      </w:r>
      <w:r w:rsidRPr="00B30327">
        <w:rPr>
          <w:sz w:val="24"/>
        </w:rPr>
        <w:t xml:space="preserve"> by the Board of Directors, and still need to be submitted to the </w:t>
      </w:r>
      <w:r w:rsidR="00DF263F" w:rsidRPr="00B30327">
        <w:rPr>
          <w:sz w:val="24"/>
        </w:rPr>
        <w:t>general meeting of shareholders</w:t>
      </w:r>
      <w:r w:rsidRPr="00B30327">
        <w:rPr>
          <w:sz w:val="24"/>
        </w:rPr>
        <w:t xml:space="preserve"> for approval.</w:t>
      </w:r>
    </w:p>
    <w:p w:rsidR="00601D73" w:rsidRPr="00B30327" w:rsidRDefault="00601D73">
      <w:pPr>
        <w:autoSpaceDE w:val="0"/>
        <w:autoSpaceDN w:val="0"/>
        <w:adjustRightInd w:val="0"/>
        <w:spacing w:line="360" w:lineRule="auto"/>
        <w:ind w:firstLineChars="200" w:firstLine="480"/>
        <w:jc w:val="left"/>
        <w:rPr>
          <w:color w:val="000000"/>
          <w:sz w:val="24"/>
        </w:rPr>
      </w:pPr>
    </w:p>
    <w:p w:rsidR="00A33E22" w:rsidRPr="00B30327" w:rsidRDefault="00A33E22" w:rsidP="00A33E22">
      <w:pPr>
        <w:autoSpaceDE w:val="0"/>
        <w:autoSpaceDN w:val="0"/>
        <w:adjustRightInd w:val="0"/>
        <w:spacing w:line="360" w:lineRule="auto"/>
        <w:ind w:firstLineChars="200" w:firstLine="482"/>
        <w:jc w:val="left"/>
        <w:rPr>
          <w:b/>
          <w:sz w:val="24"/>
        </w:rPr>
      </w:pPr>
      <w:r w:rsidRPr="00B30327">
        <w:rPr>
          <w:b/>
          <w:bCs/>
          <w:sz w:val="24"/>
        </w:rPr>
        <w:t>II. Introduction of Related Parties</w:t>
      </w:r>
    </w:p>
    <w:p w:rsidR="00A33E22" w:rsidRPr="00B30327" w:rsidRDefault="00A33E22" w:rsidP="00A33E22">
      <w:pPr>
        <w:pStyle w:val="Default"/>
        <w:spacing w:line="360" w:lineRule="auto"/>
        <w:ind w:firstLineChars="150" w:firstLine="360"/>
        <w:rPr>
          <w:rFonts w:ascii="Times New Roman" w:hAnsi="Times New Roman" w:cs="Times New Roman"/>
        </w:rPr>
      </w:pPr>
      <w:r w:rsidRPr="00B30327">
        <w:rPr>
          <w:rFonts w:ascii="Times New Roman" w:hAnsi="Times New Roman" w:cs="Times New Roman"/>
          <w:kern w:val="2"/>
        </w:rPr>
        <w:t>(I) Basic Information of Related Parties</w:t>
      </w:r>
    </w:p>
    <w:p w:rsidR="00DF263F" w:rsidRPr="00B30327" w:rsidRDefault="00DF263F" w:rsidP="00DF263F">
      <w:pPr>
        <w:spacing w:line="440" w:lineRule="exact"/>
        <w:ind w:firstLineChars="200" w:firstLine="480"/>
        <w:rPr>
          <w:kern w:val="0"/>
          <w:sz w:val="24"/>
        </w:rPr>
      </w:pPr>
      <w:r w:rsidRPr="00B30327">
        <w:rPr>
          <w:sz w:val="24"/>
        </w:rPr>
        <w:t>The People</w:t>
      </w:r>
      <w:r w:rsidR="00C031CB" w:rsidRPr="00B30327">
        <w:rPr>
          <w:sz w:val="24"/>
        </w:rPr>
        <w:t>’</w:t>
      </w:r>
      <w:r w:rsidRPr="00B30327">
        <w:rPr>
          <w:sz w:val="24"/>
        </w:rPr>
        <w:t>s Insurance Company of China, the predecessor of the People</w:t>
      </w:r>
      <w:r w:rsidR="00C031CB" w:rsidRPr="00B30327">
        <w:rPr>
          <w:sz w:val="24"/>
        </w:rPr>
        <w:t>’</w:t>
      </w:r>
      <w:r w:rsidRPr="00B30327">
        <w:rPr>
          <w:sz w:val="24"/>
        </w:rPr>
        <w:t xml:space="preserve">s Insurance Company (Group) of China Limited, was established on October 20, 1949 at No. 108, </w:t>
      </w:r>
      <w:proofErr w:type="spellStart"/>
      <w:r w:rsidRPr="00B30327">
        <w:rPr>
          <w:sz w:val="24"/>
        </w:rPr>
        <w:t>Xijiaomin</w:t>
      </w:r>
      <w:proofErr w:type="spellEnd"/>
      <w:r w:rsidRPr="00B30327">
        <w:rPr>
          <w:sz w:val="24"/>
        </w:rPr>
        <w:t xml:space="preserve"> Lane, Beijing. The controlling shareholder and actual controller was the Ministry of Finance, the legal representative was Luo Xi, and the registered capital is RMB 44.224 billion. The People</w:t>
      </w:r>
      <w:r w:rsidR="00C031CB" w:rsidRPr="00B30327">
        <w:rPr>
          <w:sz w:val="24"/>
        </w:rPr>
        <w:t>’</w:t>
      </w:r>
      <w:r w:rsidRPr="00B30327">
        <w:rPr>
          <w:sz w:val="24"/>
        </w:rPr>
        <w:t xml:space="preserve">s Insurance Company (Group) of China Limited was listed on the main board of the Hong Kong Stock Exchange on December 7, 2012, and on the main board of the Shanghai Stock Exchange on November 16, 2018, becoming the fifth domestic listed insurance company of </w:t>
      </w:r>
      <w:r w:rsidR="00997606" w:rsidRPr="00B30327">
        <w:rPr>
          <w:sz w:val="24"/>
        </w:rPr>
        <w:t>“</w:t>
      </w:r>
      <w:r w:rsidRPr="00B30327">
        <w:rPr>
          <w:sz w:val="24"/>
        </w:rPr>
        <w:t>A+H</w:t>
      </w:r>
      <w:r w:rsidR="00997606" w:rsidRPr="00B30327">
        <w:rPr>
          <w:sz w:val="24"/>
        </w:rPr>
        <w:t>”</w:t>
      </w:r>
      <w:r w:rsidRPr="00B30327">
        <w:rPr>
          <w:sz w:val="24"/>
        </w:rPr>
        <w:t xml:space="preserve"> </w:t>
      </w:r>
      <w:r w:rsidRPr="00B30327">
        <w:rPr>
          <w:sz w:val="24"/>
        </w:rPr>
        <w:lastRenderedPageBreak/>
        <w:t>shares. After more than 70 years of development, PICC Group has now become a comprehensive insurance and financial group with more than a dozen professional subsidiaries. Its business scope covers property insurance, life insurance, reinsurance, asset management, real estate investment and alternative investment, financial technology and other fields.</w:t>
      </w:r>
    </w:p>
    <w:p w:rsidR="00A33E22" w:rsidRPr="00B30327" w:rsidRDefault="00A33E22" w:rsidP="00A33E22">
      <w:pPr>
        <w:pStyle w:val="Default"/>
        <w:spacing w:line="360" w:lineRule="auto"/>
        <w:ind w:firstLineChars="150" w:firstLine="360"/>
        <w:rPr>
          <w:rFonts w:ascii="Times New Roman" w:hAnsi="Times New Roman" w:cs="Times New Roman"/>
        </w:rPr>
      </w:pPr>
      <w:r w:rsidRPr="00B30327">
        <w:rPr>
          <w:rFonts w:ascii="Times New Roman" w:hAnsi="Times New Roman" w:cs="Times New Roman"/>
        </w:rPr>
        <w:t>(II) Related Relationship with Listed Companies</w:t>
      </w:r>
    </w:p>
    <w:p w:rsidR="00A33E22" w:rsidRPr="00B30327" w:rsidRDefault="00A33E22" w:rsidP="00A33E22">
      <w:pPr>
        <w:pStyle w:val="Default"/>
        <w:spacing w:line="360" w:lineRule="auto"/>
        <w:ind w:firstLineChars="150" w:firstLine="360"/>
        <w:jc w:val="both"/>
        <w:rPr>
          <w:rFonts w:ascii="Times New Roman" w:hAnsi="Times New Roman" w:cs="Times New Roman"/>
        </w:rPr>
      </w:pPr>
      <w:r w:rsidRPr="00B30327">
        <w:rPr>
          <w:rFonts w:ascii="Times New Roman" w:hAnsi="Times New Roman" w:cs="Times New Roman"/>
        </w:rPr>
        <w:t>The People’s Insurance Company (Group) of China Limited and its subsidiaries, PICC Property and Casualty Company Limited and PICC Life Insurance Company Limited, hold 12.90% of the Company</w:t>
      </w:r>
      <w:r w:rsidR="00C031CB" w:rsidRPr="00B30327">
        <w:rPr>
          <w:rFonts w:ascii="Times New Roman" w:hAnsi="Times New Roman" w:cs="Times New Roman"/>
        </w:rPr>
        <w:t>’</w:t>
      </w:r>
      <w:r w:rsidRPr="00B30327">
        <w:rPr>
          <w:rFonts w:ascii="Times New Roman" w:hAnsi="Times New Roman" w:cs="Times New Roman"/>
        </w:rPr>
        <w:t xml:space="preserve">s total shares and have director Mr. Fu </w:t>
      </w:r>
      <w:proofErr w:type="spellStart"/>
      <w:r w:rsidRPr="00B30327">
        <w:rPr>
          <w:rFonts w:ascii="Times New Roman" w:hAnsi="Times New Roman" w:cs="Times New Roman"/>
        </w:rPr>
        <w:t>Anping</w:t>
      </w:r>
      <w:proofErr w:type="spellEnd"/>
      <w:r w:rsidRPr="00B30327">
        <w:rPr>
          <w:rFonts w:ascii="Times New Roman" w:hAnsi="Times New Roman" w:cs="Times New Roman"/>
        </w:rPr>
        <w:t xml:space="preserve"> stationed in the Company. According to provisions of CBIRC</w:t>
      </w:r>
      <w:r w:rsidR="00C031CB" w:rsidRPr="00B30327">
        <w:rPr>
          <w:rFonts w:ascii="Times New Roman" w:hAnsi="Times New Roman" w:cs="Times New Roman"/>
        </w:rPr>
        <w:t>’</w:t>
      </w:r>
      <w:r w:rsidRPr="00B30327">
        <w:rPr>
          <w:rFonts w:ascii="Times New Roman" w:hAnsi="Times New Roman" w:cs="Times New Roman"/>
        </w:rPr>
        <w:t xml:space="preserve">s </w:t>
      </w:r>
      <w:r w:rsidRPr="00B30327">
        <w:rPr>
          <w:rFonts w:ascii="Times New Roman" w:hAnsi="Times New Roman" w:cs="Times New Roman"/>
          <w:i/>
        </w:rPr>
        <w:t>Administrative Measures on Related Transactions between Commercial Banks and Internal Personnel and Shareholders</w:t>
      </w:r>
      <w:r w:rsidRPr="00B30327">
        <w:rPr>
          <w:rFonts w:ascii="Times New Roman" w:hAnsi="Times New Roman" w:cs="Times New Roman"/>
        </w:rPr>
        <w:t xml:space="preserve">, </w:t>
      </w:r>
      <w:r w:rsidRPr="00B30327">
        <w:rPr>
          <w:rFonts w:ascii="Times New Roman" w:hAnsi="Times New Roman" w:cs="Times New Roman"/>
          <w:i/>
        </w:rPr>
        <w:t>Temporary Measures on Equity Management of Commercial Banks</w:t>
      </w:r>
      <w:r w:rsidRPr="00B30327">
        <w:rPr>
          <w:rFonts w:ascii="Times New Roman" w:hAnsi="Times New Roman" w:cs="Times New Roman"/>
        </w:rPr>
        <w:t>, SSE</w:t>
      </w:r>
      <w:r w:rsidR="00C031CB" w:rsidRPr="00B30327">
        <w:rPr>
          <w:rFonts w:ascii="Times New Roman" w:hAnsi="Times New Roman" w:cs="Times New Roman"/>
        </w:rPr>
        <w:t>’</w:t>
      </w:r>
      <w:r w:rsidRPr="00B30327">
        <w:rPr>
          <w:rFonts w:ascii="Times New Roman" w:hAnsi="Times New Roman" w:cs="Times New Roman"/>
        </w:rPr>
        <w:t xml:space="preserve">s </w:t>
      </w:r>
      <w:r w:rsidRPr="00B30327">
        <w:rPr>
          <w:rFonts w:ascii="Times New Roman" w:hAnsi="Times New Roman" w:cs="Times New Roman"/>
          <w:i/>
        </w:rPr>
        <w:t>Guideline for Implementation of Related Transactions of Listed Companies</w:t>
      </w:r>
      <w:r w:rsidRPr="00B30327">
        <w:rPr>
          <w:rFonts w:ascii="Times New Roman" w:hAnsi="Times New Roman" w:cs="Times New Roman"/>
        </w:rPr>
        <w:t xml:space="preserve"> and the Company</w:t>
      </w:r>
      <w:r w:rsidR="00C031CB" w:rsidRPr="00B30327">
        <w:rPr>
          <w:rFonts w:ascii="Times New Roman" w:hAnsi="Times New Roman" w:cs="Times New Roman"/>
        </w:rPr>
        <w:t>’</w:t>
      </w:r>
      <w:r w:rsidRPr="00B30327">
        <w:rPr>
          <w:rFonts w:ascii="Times New Roman" w:hAnsi="Times New Roman" w:cs="Times New Roman"/>
        </w:rPr>
        <w:t xml:space="preserve">s </w:t>
      </w:r>
      <w:r w:rsidRPr="00B30327">
        <w:rPr>
          <w:rFonts w:ascii="Times New Roman" w:hAnsi="Times New Roman" w:cs="Times New Roman"/>
          <w:i/>
        </w:rPr>
        <w:t>Administrative Measures on Related Transactions</w:t>
      </w:r>
      <w:r w:rsidRPr="00B30327">
        <w:rPr>
          <w:rFonts w:ascii="Times New Roman" w:hAnsi="Times New Roman" w:cs="Times New Roman"/>
        </w:rPr>
        <w:t>, the People’s Insurance Company (Group) of China Limited and its affiliated companies are related parties of the Company.</w:t>
      </w:r>
    </w:p>
    <w:p w:rsidR="00420E76" w:rsidRPr="00B30327" w:rsidRDefault="00420E76">
      <w:pPr>
        <w:spacing w:line="360" w:lineRule="auto"/>
        <w:ind w:firstLineChars="200" w:firstLine="480"/>
        <w:rPr>
          <w:kern w:val="0"/>
          <w:sz w:val="24"/>
        </w:rPr>
      </w:pPr>
    </w:p>
    <w:p w:rsidR="00A33E22" w:rsidRPr="00B30327" w:rsidRDefault="00A33E22" w:rsidP="00A33E22">
      <w:pPr>
        <w:pStyle w:val="Default"/>
        <w:spacing w:line="360" w:lineRule="auto"/>
        <w:ind w:firstLineChars="200" w:firstLine="482"/>
        <w:rPr>
          <w:rFonts w:ascii="Times New Roman" w:hAnsi="Times New Roman" w:cs="Times New Roman"/>
          <w:b/>
          <w:bCs/>
          <w:color w:val="auto"/>
        </w:rPr>
      </w:pPr>
      <w:r w:rsidRPr="00B30327">
        <w:rPr>
          <w:rFonts w:ascii="Times New Roman" w:hAnsi="Times New Roman" w:cs="Times New Roman"/>
          <w:b/>
          <w:bCs/>
          <w:color w:val="auto"/>
        </w:rPr>
        <w:t>III. Main Content and Pricing Policy of Related Transaction</w:t>
      </w:r>
    </w:p>
    <w:p w:rsidR="00A33E22" w:rsidRPr="00B30327" w:rsidRDefault="00A33E22" w:rsidP="00A33E22">
      <w:pPr>
        <w:pStyle w:val="Default"/>
        <w:spacing w:line="360" w:lineRule="auto"/>
        <w:ind w:firstLineChars="200" w:firstLine="480"/>
        <w:rPr>
          <w:rFonts w:ascii="Times New Roman" w:hAnsi="Times New Roman" w:cs="Times New Roman"/>
          <w:color w:val="auto"/>
        </w:rPr>
      </w:pPr>
      <w:r w:rsidRPr="00B30327">
        <w:rPr>
          <w:rFonts w:ascii="Times New Roman" w:hAnsi="Times New Roman" w:cs="Times New Roman"/>
          <w:color w:val="auto"/>
        </w:rPr>
        <w:t>(I) Main Content of Related Transaction</w:t>
      </w:r>
    </w:p>
    <w:p w:rsidR="004B2092" w:rsidRPr="00B30327" w:rsidRDefault="00A33E22" w:rsidP="004B2092">
      <w:pPr>
        <w:spacing w:line="360" w:lineRule="auto"/>
        <w:ind w:firstLineChars="200" w:firstLine="480"/>
        <w:rPr>
          <w:iCs/>
          <w:color w:val="000000"/>
          <w:sz w:val="24"/>
        </w:rPr>
      </w:pPr>
      <w:r w:rsidRPr="00B30327">
        <w:rPr>
          <w:sz w:val="24"/>
        </w:rPr>
        <w:t>The Company</w:t>
      </w:r>
      <w:r w:rsidR="00C031CB" w:rsidRPr="00C031CB">
        <w:rPr>
          <w:sz w:val="24"/>
        </w:rPr>
        <w:t>’</w:t>
      </w:r>
      <w:r w:rsidRPr="00B30327">
        <w:rPr>
          <w:sz w:val="24"/>
        </w:rPr>
        <w:t>s 201</w:t>
      </w:r>
      <w:r w:rsidR="00CE3239" w:rsidRPr="00B30327">
        <w:rPr>
          <w:sz w:val="24"/>
        </w:rPr>
        <w:t>7</w:t>
      </w:r>
      <w:r w:rsidRPr="00B30327">
        <w:rPr>
          <w:sz w:val="24"/>
        </w:rPr>
        <w:t xml:space="preserve"> </w:t>
      </w:r>
      <w:r w:rsidR="00F71BA2" w:rsidRPr="00B30327">
        <w:rPr>
          <w:sz w:val="24"/>
        </w:rPr>
        <w:t>annual general meeting of shareholders</w:t>
      </w:r>
      <w:r w:rsidRPr="00B30327">
        <w:rPr>
          <w:sz w:val="24"/>
        </w:rPr>
        <w:t xml:space="preserve"> </w:t>
      </w:r>
      <w:r w:rsidR="004B2092" w:rsidRPr="00B30327">
        <w:rPr>
          <w:sz w:val="24"/>
        </w:rPr>
        <w:t xml:space="preserve">agreed on May 25, 2018 to give the </w:t>
      </w:r>
      <w:r w:rsidR="00F71BA2" w:rsidRPr="00B30327">
        <w:rPr>
          <w:sz w:val="24"/>
        </w:rPr>
        <w:t>Related Legal Persons of PICC Series</w:t>
      </w:r>
      <w:r w:rsidR="004B2092" w:rsidRPr="00B30327">
        <w:rPr>
          <w:sz w:val="24"/>
        </w:rPr>
        <w:t xml:space="preserve"> </w:t>
      </w:r>
      <w:r w:rsidR="00F71BA2" w:rsidRPr="00B30327">
        <w:rPr>
          <w:sz w:val="24"/>
        </w:rPr>
        <w:t xml:space="preserve">related transaction quota of </w:t>
      </w:r>
      <w:r w:rsidR="004B2092" w:rsidRPr="00B30327">
        <w:rPr>
          <w:sz w:val="24"/>
        </w:rPr>
        <w:t xml:space="preserve">RMB 79.6 billion, </w:t>
      </w:r>
      <w:r w:rsidR="00F71BA2" w:rsidRPr="00B30327">
        <w:rPr>
          <w:sz w:val="24"/>
        </w:rPr>
        <w:t>with a validity period of 3 years</w:t>
      </w:r>
      <w:r w:rsidR="004B2092" w:rsidRPr="00B30327">
        <w:rPr>
          <w:sz w:val="24"/>
        </w:rPr>
        <w:t xml:space="preserve">, </w:t>
      </w:r>
      <w:r w:rsidR="004B2092" w:rsidRPr="00B30327">
        <w:rPr>
          <w:iCs/>
          <w:color w:val="000000"/>
          <w:sz w:val="24"/>
        </w:rPr>
        <w:t>including</w:t>
      </w:r>
      <w:r w:rsidR="004B2092" w:rsidRPr="00B30327">
        <w:rPr>
          <w:sz w:val="24"/>
        </w:rPr>
        <w:t xml:space="preserve">: </w:t>
      </w:r>
      <w:r w:rsidR="004B2092" w:rsidRPr="00B30327">
        <w:rPr>
          <w:iCs/>
          <w:color w:val="000000"/>
          <w:sz w:val="24"/>
        </w:rPr>
        <w:t>credit related transaction quota</w:t>
      </w:r>
      <w:r w:rsidR="00F71BA2" w:rsidRPr="00B30327">
        <w:rPr>
          <w:iCs/>
          <w:color w:val="000000"/>
          <w:sz w:val="24"/>
        </w:rPr>
        <w:t xml:space="preserve"> of RMB 54 billion</w:t>
      </w:r>
      <w:r w:rsidR="004B2092" w:rsidRPr="00B30327">
        <w:rPr>
          <w:sz w:val="24"/>
        </w:rPr>
        <w:t>;</w:t>
      </w:r>
      <w:r w:rsidR="004B2092" w:rsidRPr="00B30327">
        <w:rPr>
          <w:iCs/>
          <w:color w:val="000000"/>
          <w:sz w:val="24"/>
        </w:rPr>
        <w:t xml:space="preserve"> non-credit related translation quota</w:t>
      </w:r>
      <w:r w:rsidR="00F71BA2" w:rsidRPr="00B30327">
        <w:rPr>
          <w:iCs/>
          <w:color w:val="000000"/>
          <w:sz w:val="24"/>
        </w:rPr>
        <w:t xml:space="preserve"> of RMB 25.6 billion</w:t>
      </w:r>
      <w:r w:rsidR="004B2092" w:rsidRPr="00B30327">
        <w:rPr>
          <w:iCs/>
          <w:color w:val="000000"/>
          <w:sz w:val="24"/>
        </w:rPr>
        <w:t>.</w:t>
      </w:r>
    </w:p>
    <w:p w:rsidR="004B2092" w:rsidRPr="00B30327" w:rsidRDefault="004B2092" w:rsidP="004B2092">
      <w:pPr>
        <w:autoSpaceDE w:val="0"/>
        <w:autoSpaceDN w:val="0"/>
        <w:adjustRightInd w:val="0"/>
        <w:spacing w:line="360" w:lineRule="auto"/>
        <w:ind w:firstLineChars="200" w:firstLine="480"/>
        <w:rPr>
          <w:iCs/>
          <w:color w:val="000000"/>
          <w:sz w:val="24"/>
        </w:rPr>
      </w:pPr>
      <w:r w:rsidRPr="00B30327">
        <w:rPr>
          <w:iCs/>
          <w:color w:val="000000"/>
          <w:sz w:val="24"/>
        </w:rPr>
        <w:t xml:space="preserve">As the original approval quota will expire on April 30, 2021, this re-approval will give the </w:t>
      </w:r>
      <w:r w:rsidR="00F71BA2" w:rsidRPr="00B30327">
        <w:rPr>
          <w:sz w:val="24"/>
        </w:rPr>
        <w:t>Related Legal Persons of PICC Series</w:t>
      </w:r>
      <w:r w:rsidRPr="00B30327">
        <w:rPr>
          <w:sz w:val="24"/>
        </w:rPr>
        <w:t xml:space="preserve"> related transaction quota</w:t>
      </w:r>
      <w:r w:rsidR="00F71BA2" w:rsidRPr="00B30327">
        <w:rPr>
          <w:sz w:val="24"/>
        </w:rPr>
        <w:t xml:space="preserve"> of RMB 79.6 billion</w:t>
      </w:r>
      <w:r w:rsidRPr="00B30327">
        <w:rPr>
          <w:sz w:val="24"/>
        </w:rPr>
        <w:t xml:space="preserve">, </w:t>
      </w:r>
      <w:r w:rsidR="00F71BA2" w:rsidRPr="00B30327">
        <w:rPr>
          <w:sz w:val="24"/>
        </w:rPr>
        <w:t>with a validity period of 3 years</w:t>
      </w:r>
      <w:r w:rsidRPr="00B30327">
        <w:rPr>
          <w:sz w:val="24"/>
        </w:rPr>
        <w:t xml:space="preserve">, </w:t>
      </w:r>
      <w:r w:rsidRPr="00B30327">
        <w:rPr>
          <w:iCs/>
          <w:color w:val="000000"/>
          <w:sz w:val="24"/>
        </w:rPr>
        <w:t>including</w:t>
      </w:r>
      <w:r w:rsidRPr="00B30327">
        <w:rPr>
          <w:sz w:val="24"/>
        </w:rPr>
        <w:t xml:space="preserve">: </w:t>
      </w:r>
      <w:r w:rsidRPr="00B30327">
        <w:rPr>
          <w:iCs/>
          <w:color w:val="000000"/>
          <w:sz w:val="24"/>
        </w:rPr>
        <w:t>credit related transaction quota</w:t>
      </w:r>
      <w:r w:rsidR="00F71BA2" w:rsidRPr="00B30327">
        <w:rPr>
          <w:iCs/>
          <w:color w:val="000000"/>
          <w:sz w:val="24"/>
        </w:rPr>
        <w:t xml:space="preserve"> of RMB 54 billion</w:t>
      </w:r>
      <w:r w:rsidRPr="00B30327">
        <w:rPr>
          <w:iCs/>
          <w:color w:val="000000"/>
          <w:sz w:val="24"/>
        </w:rPr>
        <w:t xml:space="preserve"> for the People’s Insurance Company (Group) of China Limited and its affiliated companies to carry out various short, medium and long term businesses</w:t>
      </w:r>
      <w:r w:rsidRPr="00B30327">
        <w:rPr>
          <w:sz w:val="24"/>
        </w:rPr>
        <w:t>;</w:t>
      </w:r>
      <w:r w:rsidRPr="00B30327">
        <w:rPr>
          <w:iCs/>
          <w:color w:val="000000"/>
          <w:sz w:val="24"/>
        </w:rPr>
        <w:t xml:space="preserve"> non-credit related translation quota</w:t>
      </w:r>
      <w:r w:rsidR="00F71BA2" w:rsidRPr="00B30327">
        <w:rPr>
          <w:iCs/>
          <w:color w:val="000000"/>
          <w:sz w:val="24"/>
        </w:rPr>
        <w:t xml:space="preserve"> of RMB 25.6 billion</w:t>
      </w:r>
      <w:r w:rsidRPr="00B30327">
        <w:rPr>
          <w:iCs/>
          <w:color w:val="000000"/>
          <w:sz w:val="24"/>
        </w:rPr>
        <w:t xml:space="preserve"> with transaction types of customized wealth management, credit asset transfer, capital business, insurance </w:t>
      </w:r>
      <w:r w:rsidRPr="00B30327">
        <w:rPr>
          <w:iCs/>
          <w:color w:val="000000"/>
          <w:sz w:val="24"/>
        </w:rPr>
        <w:lastRenderedPageBreak/>
        <w:t>services, agent sales of insurance products, investment in insurance asset management products, asset custody, and other comprehensive services.</w:t>
      </w:r>
    </w:p>
    <w:p w:rsidR="00A33E22" w:rsidRPr="00B30327" w:rsidRDefault="00A33E22" w:rsidP="00A33E22">
      <w:pPr>
        <w:pStyle w:val="Default"/>
        <w:spacing w:line="360" w:lineRule="auto"/>
        <w:ind w:firstLineChars="200" w:firstLine="480"/>
        <w:jc w:val="both"/>
        <w:rPr>
          <w:rFonts w:ascii="Times New Roman" w:hAnsi="Times New Roman" w:cs="Times New Roman"/>
          <w:color w:val="auto"/>
        </w:rPr>
      </w:pPr>
      <w:r w:rsidRPr="00B30327">
        <w:rPr>
          <w:rFonts w:ascii="Times New Roman" w:hAnsi="Times New Roman" w:cs="Times New Roman"/>
          <w:color w:val="auto"/>
        </w:rPr>
        <w:t>(II) Pricing Policy</w:t>
      </w:r>
    </w:p>
    <w:p w:rsidR="00A33E22" w:rsidRPr="00B30327" w:rsidRDefault="00A33E22" w:rsidP="00A33E22">
      <w:pPr>
        <w:pStyle w:val="Default"/>
        <w:spacing w:line="360" w:lineRule="auto"/>
        <w:ind w:firstLineChars="200" w:firstLine="480"/>
        <w:jc w:val="both"/>
        <w:rPr>
          <w:rFonts w:ascii="Times New Roman" w:hAnsi="Times New Roman" w:cs="Times New Roman"/>
          <w:color w:val="auto"/>
        </w:rPr>
      </w:pPr>
      <w:r w:rsidRPr="00B30327">
        <w:rPr>
          <w:rFonts w:ascii="Times New Roman" w:hAnsi="Times New Roman" w:cs="Times New Roman"/>
        </w:rPr>
        <w:t xml:space="preserve">For related transactions between the Company and the </w:t>
      </w:r>
      <w:r w:rsidR="00F71BA2" w:rsidRPr="00B30327">
        <w:rPr>
          <w:rFonts w:ascii="Times New Roman" w:hAnsi="Times New Roman" w:cs="Times New Roman"/>
        </w:rPr>
        <w:t>Related Legal Persons of PICC Series</w:t>
      </w:r>
      <w:r w:rsidRPr="00B30327">
        <w:rPr>
          <w:rFonts w:ascii="Times New Roman" w:hAnsi="Times New Roman" w:cs="Times New Roman"/>
        </w:rPr>
        <w:t xml:space="preserve">, non-related transaction price of an independent third party will be referenced for the pricing of such transactions. </w:t>
      </w:r>
      <w:r w:rsidRPr="00B30327">
        <w:rPr>
          <w:rFonts w:ascii="Times New Roman" w:hAnsi="Times New Roman" w:cs="Times New Roman"/>
          <w:color w:val="auto"/>
        </w:rPr>
        <w:t>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the daily business operation of the Company, and for such transactions, general business rules will be followed, and conditions not more favorable than those of similar transactions of non-related parties will be adopted.</w:t>
      </w:r>
    </w:p>
    <w:p w:rsidR="00420E76" w:rsidRPr="00B30327" w:rsidRDefault="00420E76">
      <w:pPr>
        <w:pStyle w:val="Default"/>
        <w:spacing w:line="360" w:lineRule="auto"/>
        <w:ind w:firstLineChars="200" w:firstLine="482"/>
        <w:rPr>
          <w:rFonts w:ascii="Times New Roman" w:hAnsi="Times New Roman" w:cs="Times New Roman"/>
          <w:b/>
          <w:color w:val="auto"/>
        </w:rPr>
      </w:pPr>
    </w:p>
    <w:p w:rsidR="00A33E22" w:rsidRPr="00B30327" w:rsidRDefault="00A33E22" w:rsidP="00A33E22">
      <w:pPr>
        <w:pStyle w:val="Default"/>
        <w:spacing w:line="360" w:lineRule="auto"/>
        <w:ind w:firstLineChars="200" w:firstLine="482"/>
        <w:jc w:val="both"/>
        <w:rPr>
          <w:rFonts w:ascii="Times New Roman" w:hAnsi="Times New Roman" w:cs="Times New Roman"/>
          <w:b/>
          <w:color w:val="auto"/>
        </w:rPr>
      </w:pPr>
      <w:r w:rsidRPr="00B30327">
        <w:rPr>
          <w:rFonts w:ascii="Times New Roman" w:hAnsi="Times New Roman" w:cs="Times New Roman"/>
          <w:b/>
          <w:color w:val="auto"/>
        </w:rPr>
        <w:t xml:space="preserve">IV. Goal of Related Transaction and Influence of This Related Transaction on Listed Company </w:t>
      </w:r>
    </w:p>
    <w:p w:rsidR="00A33E22" w:rsidRPr="00B30327" w:rsidRDefault="00A33E22" w:rsidP="00A33E22">
      <w:pPr>
        <w:pStyle w:val="Default"/>
        <w:spacing w:line="360" w:lineRule="auto"/>
        <w:ind w:firstLineChars="150" w:firstLine="360"/>
        <w:jc w:val="both"/>
        <w:rPr>
          <w:rFonts w:ascii="Times New Roman" w:hAnsi="Times New Roman" w:cs="Times New Roman"/>
          <w:color w:val="auto"/>
        </w:rPr>
      </w:pPr>
      <w:r w:rsidRPr="00B30327">
        <w:rPr>
          <w:rFonts w:ascii="Times New Roman" w:hAnsi="Times New Roman" w:cs="Times New Roman"/>
          <w:color w:val="auto"/>
        </w:rPr>
        <w:t xml:space="preserve">Considering the continuous promotion of the cooperation between the Company and </w:t>
      </w:r>
      <w:r w:rsidRPr="00B30327">
        <w:rPr>
          <w:rFonts w:ascii="Times New Roman" w:hAnsi="Times New Roman" w:cs="Times New Roman"/>
        </w:rPr>
        <w:t xml:space="preserve">the </w:t>
      </w:r>
      <w:r w:rsidR="002965DC" w:rsidRPr="00B30327">
        <w:rPr>
          <w:rFonts w:ascii="Times New Roman" w:hAnsi="Times New Roman" w:cs="Times New Roman"/>
        </w:rPr>
        <w:t>Related Legal Persons of PICC Series</w:t>
      </w:r>
      <w:r w:rsidRPr="00B30327">
        <w:rPr>
          <w:rFonts w:ascii="Times New Roman" w:hAnsi="Times New Roman" w:cs="Times New Roman"/>
          <w:color w:val="auto"/>
        </w:rPr>
        <w:t xml:space="preserve"> in multiple business fields and the increasing demand for relevant businesses, the relevant businesses carried out by the Company with </w:t>
      </w:r>
      <w:r w:rsidRPr="00B30327">
        <w:rPr>
          <w:rFonts w:ascii="Times New Roman" w:hAnsi="Times New Roman" w:cs="Times New Roman"/>
        </w:rPr>
        <w:t xml:space="preserve">the </w:t>
      </w:r>
      <w:r w:rsidR="002965DC" w:rsidRPr="00B30327">
        <w:rPr>
          <w:rFonts w:ascii="Times New Roman" w:hAnsi="Times New Roman" w:cs="Times New Roman"/>
        </w:rPr>
        <w:t>Related Legal Persons of PICC Series</w:t>
      </w:r>
      <w:r w:rsidRPr="00B30327">
        <w:rPr>
          <w:rFonts w:ascii="Times New Roman" w:hAnsi="Times New Roman" w:cs="Times New Roman"/>
          <w:color w:val="auto"/>
        </w:rPr>
        <w:t xml:space="preserve"> is conducive to the further cooperation of all parties.</w:t>
      </w:r>
    </w:p>
    <w:p w:rsidR="00A33E22" w:rsidRPr="00B30327" w:rsidRDefault="00A33E22" w:rsidP="00A33E22">
      <w:pPr>
        <w:pStyle w:val="Default"/>
        <w:spacing w:line="360" w:lineRule="auto"/>
        <w:ind w:firstLineChars="150" w:firstLine="360"/>
        <w:jc w:val="both"/>
        <w:rPr>
          <w:rFonts w:ascii="Times New Roman" w:hAnsi="Times New Roman" w:cs="Times New Roman"/>
          <w:color w:val="auto"/>
        </w:rPr>
      </w:pPr>
      <w:r w:rsidRPr="00B30327">
        <w:rPr>
          <w:rFonts w:ascii="Times New Roman" w:hAnsi="Times New Roman" w:cs="Times New Roman"/>
          <w:color w:val="auto"/>
        </w:rPr>
        <w:t xml:space="preserve">The </w:t>
      </w:r>
      <w:r w:rsidR="002965DC" w:rsidRPr="00B30327">
        <w:rPr>
          <w:rFonts w:ascii="Times New Roman" w:hAnsi="Times New Roman" w:cs="Times New Roman"/>
          <w:color w:val="auto"/>
        </w:rPr>
        <w:t>above-mentioned</w:t>
      </w:r>
      <w:r w:rsidRPr="00B30327">
        <w:rPr>
          <w:rFonts w:ascii="Times New Roman" w:hAnsi="Times New Roman" w:cs="Times New Roman"/>
          <w:color w:val="auto"/>
        </w:rPr>
        <w:t xml:space="preserve"> related transactions are concluded based on market principles and general business rules or terms not more favorable than those applicable to independent third parties during the daily business </w:t>
      </w:r>
      <w:r w:rsidRPr="00B30327">
        <w:rPr>
          <w:rFonts w:ascii="Times New Roman" w:hAnsi="Times New Roman" w:cs="Times New Roman"/>
        </w:rPr>
        <w:t>of the Company</w:t>
      </w:r>
      <w:r w:rsidR="00C03D97" w:rsidRPr="00B30327">
        <w:rPr>
          <w:rFonts w:ascii="Times New Roman" w:hAnsi="Times New Roman" w:cs="Times New Roman"/>
          <w:color w:val="auto"/>
        </w:rPr>
        <w:t>,</w:t>
      </w:r>
      <w:r w:rsidRPr="00B30327">
        <w:rPr>
          <w:rFonts w:ascii="Times New Roman" w:hAnsi="Times New Roman" w:cs="Times New Roman"/>
          <w:color w:val="auto"/>
        </w:rPr>
        <w:t xml:space="preserve"> the transaction conditions will be fair and reasonable, in line with the interests of the Company and all shareholders, subject to relevant regulations requirements of the regulatory department and internal policies of the Company and without prejudice to the interests of the Company and minority shareholders, and will not have negative influence on current and future financial conditions of the Company and </w:t>
      </w:r>
      <w:r w:rsidRPr="00B30327">
        <w:rPr>
          <w:rFonts w:ascii="Times New Roman" w:hAnsi="Times New Roman" w:cs="Times New Roman"/>
          <w:color w:val="auto"/>
        </w:rPr>
        <w:lastRenderedPageBreak/>
        <w:t>independence of listed company.</w:t>
      </w:r>
    </w:p>
    <w:p w:rsidR="00420E76" w:rsidRPr="00B30327" w:rsidRDefault="00420E76">
      <w:pPr>
        <w:pStyle w:val="Default"/>
        <w:spacing w:line="360" w:lineRule="auto"/>
        <w:ind w:firstLineChars="150" w:firstLine="361"/>
        <w:rPr>
          <w:rFonts w:ascii="Times New Roman" w:hAnsi="Times New Roman" w:cs="Times New Roman"/>
          <w:b/>
        </w:rPr>
      </w:pPr>
    </w:p>
    <w:p w:rsidR="00A33E22" w:rsidRPr="00B30327" w:rsidRDefault="00A33E22" w:rsidP="00A33E22">
      <w:pPr>
        <w:pStyle w:val="Default"/>
        <w:spacing w:line="360" w:lineRule="auto"/>
        <w:ind w:firstLineChars="150" w:firstLine="361"/>
        <w:jc w:val="both"/>
        <w:rPr>
          <w:rFonts w:ascii="Times New Roman" w:hAnsi="Times New Roman" w:cs="Times New Roman"/>
          <w:b/>
        </w:rPr>
      </w:pPr>
      <w:r w:rsidRPr="00B30327">
        <w:rPr>
          <w:rFonts w:ascii="Times New Roman" w:hAnsi="Times New Roman" w:cs="Times New Roman"/>
          <w:b/>
        </w:rPr>
        <w:t>V. Opinion of Independent Directors</w:t>
      </w:r>
    </w:p>
    <w:p w:rsidR="00A33E22" w:rsidRPr="00B30327" w:rsidRDefault="00A33E22" w:rsidP="00A33E22">
      <w:pPr>
        <w:pStyle w:val="Default"/>
        <w:spacing w:line="360" w:lineRule="auto"/>
        <w:ind w:firstLineChars="200" w:firstLine="480"/>
        <w:jc w:val="both"/>
        <w:rPr>
          <w:rFonts w:ascii="Times New Roman" w:hAnsi="Times New Roman" w:cs="Times New Roman"/>
          <w:color w:val="auto"/>
        </w:rPr>
      </w:pPr>
      <w:r w:rsidRPr="00B30327">
        <w:rPr>
          <w:rFonts w:ascii="Times New Roman" w:hAnsi="Times New Roman" w:cs="Times New Roman"/>
          <w:color w:val="auto"/>
        </w:rPr>
        <w:t xml:space="preserve">Independent directors Mr. Paul M. </w:t>
      </w:r>
      <w:proofErr w:type="spellStart"/>
      <w:r w:rsidRPr="00B30327">
        <w:rPr>
          <w:rFonts w:ascii="Times New Roman" w:hAnsi="Times New Roman" w:cs="Times New Roman"/>
          <w:color w:val="auto"/>
        </w:rPr>
        <w:t>Theil</w:t>
      </w:r>
      <w:proofErr w:type="spellEnd"/>
      <w:r w:rsidRPr="00B30327">
        <w:rPr>
          <w:rFonts w:ascii="Times New Roman" w:hAnsi="Times New Roman" w:cs="Times New Roman"/>
          <w:color w:val="auto"/>
        </w:rPr>
        <w:t xml:space="preserve">, Mr. Zhu Qing, Mr. Liu </w:t>
      </w:r>
      <w:proofErr w:type="spellStart"/>
      <w:r w:rsidRPr="00B30327">
        <w:rPr>
          <w:rFonts w:ascii="Times New Roman" w:hAnsi="Times New Roman" w:cs="Times New Roman"/>
          <w:color w:val="auto"/>
        </w:rPr>
        <w:t>Shiping</w:t>
      </w:r>
      <w:proofErr w:type="spellEnd"/>
      <w:r w:rsidRPr="00B30327">
        <w:rPr>
          <w:rFonts w:ascii="Times New Roman" w:hAnsi="Times New Roman" w:cs="Times New Roman"/>
          <w:color w:val="auto"/>
        </w:rPr>
        <w:t xml:space="preserve">, Mr. Su </w:t>
      </w:r>
      <w:proofErr w:type="spellStart"/>
      <w:r w:rsidRPr="00B30327">
        <w:rPr>
          <w:rFonts w:ascii="Times New Roman" w:hAnsi="Times New Roman" w:cs="Times New Roman"/>
          <w:color w:val="auto"/>
        </w:rPr>
        <w:t>Xijia</w:t>
      </w:r>
      <w:proofErr w:type="spellEnd"/>
      <w:r w:rsidRPr="00B30327">
        <w:rPr>
          <w:rFonts w:ascii="Times New Roman" w:hAnsi="Times New Roman" w:cs="Times New Roman"/>
          <w:color w:val="auto"/>
        </w:rPr>
        <w:t xml:space="preserve"> and Mr. Lin Hua of the Company, expressed the following independent opinions with regard above related transactions:</w:t>
      </w:r>
    </w:p>
    <w:p w:rsidR="00A33E22" w:rsidRPr="00B30327" w:rsidRDefault="00A33E22" w:rsidP="00A33E22">
      <w:pPr>
        <w:spacing w:line="360" w:lineRule="auto"/>
        <w:ind w:firstLineChars="200" w:firstLine="480"/>
        <w:rPr>
          <w:sz w:val="24"/>
        </w:rPr>
      </w:pPr>
      <w:proofErr w:type="gramStart"/>
      <w:r w:rsidRPr="00B30327">
        <w:rPr>
          <w:sz w:val="24"/>
        </w:rPr>
        <w:t>(</w:t>
      </w:r>
      <w:r w:rsidRPr="00B30327">
        <w:rPr>
          <w:sz w:val="24"/>
        </w:rPr>
        <w:fldChar w:fldCharType="begin"/>
      </w:r>
      <w:r w:rsidRPr="00B30327">
        <w:rPr>
          <w:sz w:val="24"/>
        </w:rPr>
        <w:instrText xml:space="preserve"> = 1 \* ROMAN </w:instrText>
      </w:r>
      <w:r w:rsidRPr="00B30327">
        <w:rPr>
          <w:sz w:val="24"/>
        </w:rPr>
        <w:fldChar w:fldCharType="separate"/>
      </w:r>
      <w:r w:rsidRPr="00B30327">
        <w:rPr>
          <w:noProof/>
          <w:sz w:val="24"/>
        </w:rPr>
        <w:t>I</w:t>
      </w:r>
      <w:r w:rsidRPr="00B30327">
        <w:rPr>
          <w:sz w:val="24"/>
        </w:rPr>
        <w:fldChar w:fldCharType="end"/>
      </w:r>
      <w:r w:rsidRPr="00B30327">
        <w:rPr>
          <w:sz w:val="24"/>
        </w:rPr>
        <w:t>) Procedure.</w:t>
      </w:r>
      <w:proofErr w:type="gramEnd"/>
      <w:r w:rsidRPr="00B30327">
        <w:rPr>
          <w:sz w:val="24"/>
        </w:rPr>
        <w:t xml:space="preserve"> The </w:t>
      </w:r>
      <w:r w:rsidR="002965DC" w:rsidRPr="00B30327">
        <w:rPr>
          <w:iCs/>
          <w:sz w:val="24"/>
        </w:rPr>
        <w:t>above-mentioned</w:t>
      </w:r>
      <w:r w:rsidRPr="00B30327">
        <w:rPr>
          <w:sz w:val="24"/>
        </w:rPr>
        <w:t xml:space="preserve"> related transactions have been audited by the Board of Directors, reviewed by the Related Transaction Control Committee and reviewed by the Board of Directors, which is in compliance with the regulations issued by CBIRC, SCRC, SSE and other regulatory authorities, and the Company’s Articles of Association and </w:t>
      </w:r>
      <w:r w:rsidRPr="00B30327">
        <w:rPr>
          <w:i/>
          <w:sz w:val="24"/>
        </w:rPr>
        <w:t>Administrative Measures on Related Transactions</w:t>
      </w:r>
      <w:r w:rsidRPr="00B30327">
        <w:rPr>
          <w:sz w:val="24"/>
        </w:rPr>
        <w:t>.</w:t>
      </w:r>
    </w:p>
    <w:p w:rsidR="00A33E22" w:rsidRPr="00B30327" w:rsidRDefault="00A33E22" w:rsidP="00A33E22">
      <w:pPr>
        <w:pStyle w:val="Default"/>
        <w:spacing w:line="360" w:lineRule="auto"/>
        <w:ind w:firstLineChars="200" w:firstLine="480"/>
        <w:jc w:val="both"/>
        <w:rPr>
          <w:rFonts w:ascii="Times New Roman" w:hAnsi="Times New Roman" w:cs="Times New Roman"/>
          <w:color w:val="auto"/>
        </w:rPr>
      </w:pPr>
      <w:r w:rsidRPr="00B30327">
        <w:rPr>
          <w:rFonts w:ascii="Times New Roman" w:hAnsi="Times New Roman" w:cs="Times New Roman"/>
          <w:color w:val="auto"/>
        </w:rPr>
        <w:t>(</w:t>
      </w:r>
      <w:r w:rsidRPr="00B30327">
        <w:rPr>
          <w:rFonts w:ascii="Times New Roman" w:hAnsi="Times New Roman" w:cs="Times New Roman"/>
          <w:color w:val="auto"/>
        </w:rPr>
        <w:fldChar w:fldCharType="begin"/>
      </w:r>
      <w:r w:rsidRPr="00B30327">
        <w:rPr>
          <w:rFonts w:ascii="Times New Roman" w:hAnsi="Times New Roman" w:cs="Times New Roman"/>
          <w:color w:val="auto"/>
        </w:rPr>
        <w:instrText xml:space="preserve"> = 2 \* ROMAN </w:instrText>
      </w:r>
      <w:r w:rsidRPr="00B30327">
        <w:rPr>
          <w:rFonts w:ascii="Times New Roman" w:hAnsi="Times New Roman" w:cs="Times New Roman"/>
          <w:color w:val="auto"/>
        </w:rPr>
        <w:fldChar w:fldCharType="separate"/>
      </w:r>
      <w:r w:rsidRPr="00B30327">
        <w:rPr>
          <w:rFonts w:ascii="Times New Roman" w:hAnsi="Times New Roman" w:cs="Times New Roman"/>
          <w:noProof/>
          <w:color w:val="auto"/>
        </w:rPr>
        <w:t>II</w:t>
      </w:r>
      <w:r w:rsidRPr="00B30327">
        <w:rPr>
          <w:rFonts w:ascii="Times New Roman" w:hAnsi="Times New Roman" w:cs="Times New Roman"/>
          <w:color w:val="auto"/>
        </w:rPr>
        <w:fldChar w:fldCharType="end"/>
      </w:r>
      <w:r w:rsidRPr="00B30327">
        <w:rPr>
          <w:rFonts w:ascii="Times New Roman" w:hAnsi="Times New Roman" w:cs="Times New Roman"/>
          <w:color w:val="auto"/>
        </w:rPr>
        <w:t xml:space="preserve">) Fairness. The </w:t>
      </w:r>
      <w:r w:rsidR="002965DC" w:rsidRPr="00B30327">
        <w:rPr>
          <w:rFonts w:ascii="Times New Roman" w:hAnsi="Times New Roman" w:cs="Times New Roman"/>
          <w:iCs/>
          <w:color w:val="auto"/>
        </w:rPr>
        <w:t>above-mentioned</w:t>
      </w:r>
      <w:r w:rsidRPr="00B30327">
        <w:rPr>
          <w:rFonts w:ascii="Times New Roman" w:hAnsi="Times New Roman" w:cs="Times New Roman"/>
          <w:color w:val="auto"/>
        </w:rPr>
        <w:t xml:space="preserve">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w:t>
      </w:r>
      <w:r w:rsidR="001D477F" w:rsidRPr="00B30327">
        <w:rPr>
          <w:rFonts w:ascii="Times New Roman" w:hAnsi="Times New Roman" w:cs="Times New Roman"/>
          <w:color w:val="auto"/>
        </w:rPr>
        <w:t>,</w:t>
      </w:r>
      <w:r w:rsidRPr="00B30327">
        <w:rPr>
          <w:rFonts w:ascii="Times New Roman" w:hAnsi="Times New Roman" w:cs="Times New Roman"/>
          <w:color w:val="auto"/>
        </w:rPr>
        <w:t xml:space="preserve"> the transaction conditions are fair and re</w:t>
      </w:r>
      <w:bookmarkStart w:id="0" w:name="_GoBack"/>
      <w:bookmarkEnd w:id="0"/>
      <w:r w:rsidRPr="00B30327">
        <w:rPr>
          <w:rFonts w:ascii="Times New Roman" w:hAnsi="Times New Roman" w:cs="Times New Roman"/>
          <w:color w:val="auto"/>
        </w:rPr>
        <w:t>asonable</w:t>
      </w:r>
      <w:r w:rsidR="00D77751" w:rsidRPr="00B30327">
        <w:rPr>
          <w:rFonts w:ascii="Times New Roman" w:hAnsi="Times New Roman" w:cs="Times New Roman"/>
          <w:color w:val="auto"/>
        </w:rPr>
        <w:t>,</w:t>
      </w:r>
      <w:r w:rsidRPr="00B30327">
        <w:rPr>
          <w:rFonts w:ascii="Times New Roman" w:hAnsi="Times New Roman" w:cs="Times New Roman"/>
          <w:color w:val="auto"/>
        </w:rPr>
        <w:t xml:space="preserve"> and such transactions are subject to relevant regulations requirements of the regulatory department and internal policies of the Company and without prejudice to the interests of the Company and shareholders (especially minority shareholders), and will not have negative influence on current and future financial conditions of the Company and independence of the listed company.</w:t>
      </w:r>
    </w:p>
    <w:p w:rsidR="00420E76" w:rsidRPr="00B30327" w:rsidRDefault="00420E76">
      <w:pPr>
        <w:pStyle w:val="Default"/>
        <w:spacing w:line="360" w:lineRule="auto"/>
        <w:ind w:firstLineChars="200" w:firstLine="480"/>
        <w:rPr>
          <w:rFonts w:ascii="Times New Roman" w:hAnsi="Times New Roman" w:cs="Times New Roman"/>
          <w:color w:val="auto"/>
        </w:rPr>
      </w:pPr>
    </w:p>
    <w:p w:rsidR="00A33E22" w:rsidRPr="00B30327" w:rsidRDefault="00A33E22" w:rsidP="00A33E22">
      <w:pPr>
        <w:pStyle w:val="Default"/>
        <w:spacing w:line="360" w:lineRule="auto"/>
        <w:ind w:firstLineChars="150" w:firstLine="361"/>
        <w:jc w:val="both"/>
        <w:rPr>
          <w:rFonts w:ascii="Times New Roman" w:hAnsi="Times New Roman" w:cs="Times New Roman"/>
          <w:b/>
        </w:rPr>
      </w:pPr>
      <w:r w:rsidRPr="00B30327">
        <w:rPr>
          <w:rFonts w:ascii="Times New Roman" w:hAnsi="Times New Roman" w:cs="Times New Roman"/>
          <w:b/>
        </w:rPr>
        <w:t xml:space="preserve">VI. Contents of Reference Documents </w:t>
      </w:r>
    </w:p>
    <w:p w:rsidR="00A33E22" w:rsidRPr="00B30327" w:rsidRDefault="00A33E22" w:rsidP="00A33E22">
      <w:pPr>
        <w:pStyle w:val="Default"/>
        <w:spacing w:line="360" w:lineRule="auto"/>
        <w:ind w:firstLineChars="150" w:firstLine="360"/>
        <w:jc w:val="both"/>
        <w:rPr>
          <w:rFonts w:ascii="Times New Roman" w:hAnsi="Times New Roman" w:cs="Times New Roman"/>
        </w:rPr>
      </w:pPr>
      <w:r w:rsidRPr="00B30327">
        <w:rPr>
          <w:rFonts w:ascii="Times New Roman" w:hAnsi="Times New Roman" w:cs="Times New Roman"/>
        </w:rPr>
        <w:t>1. Resolution of the 24th Meeting of the Audit &amp; Related Transaction Control Committee of the 9th Board of Directors of the Company;</w:t>
      </w:r>
    </w:p>
    <w:p w:rsidR="00A33E22" w:rsidRPr="00B30327" w:rsidRDefault="00A33E22" w:rsidP="00A33E22">
      <w:pPr>
        <w:pStyle w:val="Default"/>
        <w:spacing w:line="360" w:lineRule="auto"/>
        <w:ind w:firstLineChars="150" w:firstLine="360"/>
        <w:jc w:val="both"/>
        <w:rPr>
          <w:rFonts w:ascii="Times New Roman" w:hAnsi="Times New Roman" w:cs="Times New Roman"/>
        </w:rPr>
      </w:pPr>
      <w:r w:rsidRPr="00B30327">
        <w:rPr>
          <w:rFonts w:ascii="Times New Roman" w:hAnsi="Times New Roman" w:cs="Times New Roman"/>
        </w:rPr>
        <w:t>2. Resolution of the 27th Meeting of the 9th Board of Directors of the Company;</w:t>
      </w:r>
    </w:p>
    <w:p w:rsidR="00A33E22" w:rsidRPr="00B30327" w:rsidRDefault="00A33E22" w:rsidP="00A33E22">
      <w:pPr>
        <w:pStyle w:val="Default"/>
        <w:spacing w:line="360" w:lineRule="auto"/>
        <w:ind w:firstLineChars="150" w:firstLine="360"/>
        <w:jc w:val="both"/>
        <w:rPr>
          <w:rFonts w:ascii="Times New Roman" w:hAnsi="Times New Roman" w:cs="Times New Roman"/>
        </w:rPr>
      </w:pPr>
      <w:r w:rsidRPr="00B30327">
        <w:rPr>
          <w:rFonts w:ascii="Times New Roman" w:hAnsi="Times New Roman" w:cs="Times New Roman"/>
        </w:rPr>
        <w:t xml:space="preserve">3. Prior </w:t>
      </w:r>
      <w:r w:rsidR="009A434B" w:rsidRPr="00B30327">
        <w:rPr>
          <w:rFonts w:ascii="Times New Roman" w:hAnsi="Times New Roman" w:cs="Times New Roman"/>
        </w:rPr>
        <w:t>Approval Opinions Signed</w:t>
      </w:r>
      <w:r w:rsidRPr="00B30327">
        <w:rPr>
          <w:rFonts w:ascii="Times New Roman" w:hAnsi="Times New Roman" w:cs="Times New Roman"/>
        </w:rPr>
        <w:t xml:space="preserve"> and </w:t>
      </w:r>
      <w:r w:rsidR="009A434B" w:rsidRPr="00B30327">
        <w:rPr>
          <w:rFonts w:ascii="Times New Roman" w:hAnsi="Times New Roman" w:cs="Times New Roman"/>
        </w:rPr>
        <w:t>C</w:t>
      </w:r>
      <w:r w:rsidRPr="00B30327">
        <w:rPr>
          <w:rFonts w:ascii="Times New Roman" w:hAnsi="Times New Roman" w:cs="Times New Roman"/>
        </w:rPr>
        <w:t xml:space="preserve">onfirmed by </w:t>
      </w:r>
      <w:r w:rsidR="009A434B" w:rsidRPr="00B30327">
        <w:rPr>
          <w:rFonts w:ascii="Times New Roman" w:hAnsi="Times New Roman" w:cs="Times New Roman"/>
        </w:rPr>
        <w:t>Independent Dire</w:t>
      </w:r>
      <w:r w:rsidRPr="00B30327">
        <w:rPr>
          <w:rFonts w:ascii="Times New Roman" w:hAnsi="Times New Roman" w:cs="Times New Roman"/>
        </w:rPr>
        <w:t>ctors;</w:t>
      </w:r>
    </w:p>
    <w:p w:rsidR="00A33E22" w:rsidRPr="00B30327" w:rsidRDefault="00A33E22" w:rsidP="00A33E22">
      <w:pPr>
        <w:pStyle w:val="Default"/>
        <w:spacing w:line="360" w:lineRule="auto"/>
        <w:ind w:firstLineChars="150" w:firstLine="360"/>
        <w:jc w:val="both"/>
        <w:rPr>
          <w:rFonts w:ascii="Times New Roman" w:hAnsi="Times New Roman" w:cs="Times New Roman"/>
        </w:rPr>
      </w:pPr>
      <w:r w:rsidRPr="00B30327">
        <w:rPr>
          <w:rFonts w:ascii="Times New Roman" w:hAnsi="Times New Roman" w:cs="Times New Roman"/>
        </w:rPr>
        <w:t xml:space="preserve">4. Independent </w:t>
      </w:r>
      <w:r w:rsidR="009A434B" w:rsidRPr="00B30327">
        <w:rPr>
          <w:rFonts w:ascii="Times New Roman" w:hAnsi="Times New Roman" w:cs="Times New Roman"/>
        </w:rPr>
        <w:t>Opinions S</w:t>
      </w:r>
      <w:r w:rsidRPr="00B30327">
        <w:rPr>
          <w:rFonts w:ascii="Times New Roman" w:hAnsi="Times New Roman" w:cs="Times New Roman"/>
        </w:rPr>
        <w:t xml:space="preserve">igned and </w:t>
      </w:r>
      <w:r w:rsidR="009A434B" w:rsidRPr="00B30327">
        <w:rPr>
          <w:rFonts w:ascii="Times New Roman" w:hAnsi="Times New Roman" w:cs="Times New Roman"/>
        </w:rPr>
        <w:t>C</w:t>
      </w:r>
      <w:r w:rsidRPr="00B30327">
        <w:rPr>
          <w:rFonts w:ascii="Times New Roman" w:hAnsi="Times New Roman" w:cs="Times New Roman"/>
        </w:rPr>
        <w:t xml:space="preserve">onfirmed by </w:t>
      </w:r>
      <w:r w:rsidR="009A434B" w:rsidRPr="00B30327">
        <w:rPr>
          <w:rFonts w:ascii="Times New Roman" w:hAnsi="Times New Roman" w:cs="Times New Roman"/>
        </w:rPr>
        <w:t>Independent Di</w:t>
      </w:r>
      <w:r w:rsidRPr="00B30327">
        <w:rPr>
          <w:rFonts w:ascii="Times New Roman" w:hAnsi="Times New Roman" w:cs="Times New Roman"/>
        </w:rPr>
        <w:t>rectors.</w:t>
      </w:r>
    </w:p>
    <w:p w:rsidR="00420E76" w:rsidRPr="00B30327" w:rsidRDefault="00420E76" w:rsidP="0043740F">
      <w:pPr>
        <w:pStyle w:val="Default"/>
        <w:spacing w:line="360" w:lineRule="auto"/>
        <w:ind w:firstLineChars="200" w:firstLine="480"/>
        <w:rPr>
          <w:rFonts w:ascii="Times New Roman" w:hAnsi="Times New Roman" w:cs="Times New Roman"/>
        </w:rPr>
      </w:pPr>
    </w:p>
    <w:p w:rsidR="00A33E22" w:rsidRPr="00B30327" w:rsidRDefault="00A33E22" w:rsidP="00A33E22">
      <w:pPr>
        <w:pStyle w:val="Default"/>
        <w:spacing w:line="360" w:lineRule="auto"/>
        <w:ind w:firstLineChars="200" w:firstLine="480"/>
        <w:jc w:val="both"/>
        <w:rPr>
          <w:rFonts w:ascii="Times New Roman" w:hAnsi="Times New Roman" w:cs="Times New Roman"/>
        </w:rPr>
      </w:pPr>
      <w:proofErr w:type="gramStart"/>
      <w:r w:rsidRPr="00B30327">
        <w:rPr>
          <w:rFonts w:ascii="Times New Roman" w:hAnsi="Times New Roman" w:cs="Times New Roman"/>
        </w:rPr>
        <w:t>Hereby Announced.</w:t>
      </w:r>
      <w:proofErr w:type="gramEnd"/>
      <w:r w:rsidRPr="00B30327">
        <w:rPr>
          <w:rFonts w:ascii="Times New Roman" w:hAnsi="Times New Roman" w:cs="Times New Roman"/>
        </w:rPr>
        <w:t xml:space="preserve"> </w:t>
      </w:r>
    </w:p>
    <w:p w:rsidR="00A33E22" w:rsidRPr="00B30327" w:rsidRDefault="00A33E22" w:rsidP="00A33E22">
      <w:pPr>
        <w:pStyle w:val="Default"/>
        <w:spacing w:line="360" w:lineRule="auto"/>
        <w:ind w:firstLineChars="200" w:firstLine="480"/>
        <w:rPr>
          <w:rFonts w:ascii="Times New Roman" w:hAnsi="Times New Roman" w:cs="Times New Roman"/>
        </w:rPr>
      </w:pPr>
    </w:p>
    <w:p w:rsidR="00A33E22" w:rsidRPr="00B30327" w:rsidRDefault="00A33E22" w:rsidP="00A33E22">
      <w:pPr>
        <w:pStyle w:val="Default"/>
        <w:spacing w:line="360" w:lineRule="auto"/>
        <w:jc w:val="right"/>
        <w:rPr>
          <w:rFonts w:ascii="Times New Roman" w:hAnsi="Times New Roman" w:cs="Times New Roman"/>
        </w:rPr>
      </w:pPr>
      <w:proofErr w:type="gramStart"/>
      <w:r w:rsidRPr="00B30327">
        <w:rPr>
          <w:rFonts w:ascii="Times New Roman" w:hAnsi="Times New Roman" w:cs="Times New Roman"/>
        </w:rPr>
        <w:t>Board of Directors of Industrial Bank Co., Ltd.</w:t>
      </w:r>
      <w:proofErr w:type="gramEnd"/>
    </w:p>
    <w:p w:rsidR="00A33E22" w:rsidRPr="00B30327" w:rsidRDefault="00A33E22" w:rsidP="00A33E22">
      <w:pPr>
        <w:pStyle w:val="Default"/>
        <w:spacing w:line="360" w:lineRule="auto"/>
        <w:ind w:firstLineChars="1000" w:firstLine="2400"/>
        <w:rPr>
          <w:rFonts w:ascii="Times New Roman" w:hAnsi="Times New Roman" w:cs="Times New Roman"/>
        </w:rPr>
      </w:pPr>
      <w:r w:rsidRPr="00B30327">
        <w:rPr>
          <w:rFonts w:ascii="Times New Roman" w:hAnsi="Times New Roman" w:cs="Times New Roman"/>
        </w:rPr>
        <w:t xml:space="preserve">                      March 30, 2021</w:t>
      </w:r>
    </w:p>
    <w:p w:rsidR="00A33E22" w:rsidRPr="00B30327" w:rsidRDefault="00A33E22">
      <w:pPr>
        <w:pStyle w:val="Default"/>
        <w:spacing w:line="360" w:lineRule="auto"/>
        <w:ind w:firstLineChars="1000" w:firstLine="2400"/>
        <w:rPr>
          <w:rFonts w:ascii="Times New Roman" w:hAnsi="Times New Roman" w:cs="Times New Roman"/>
        </w:rPr>
      </w:pPr>
    </w:p>
    <w:p w:rsidR="00420E76" w:rsidRPr="00B30327" w:rsidRDefault="00420E76">
      <w:pPr>
        <w:autoSpaceDE w:val="0"/>
        <w:autoSpaceDN w:val="0"/>
        <w:adjustRightInd w:val="0"/>
        <w:spacing w:line="360" w:lineRule="auto"/>
        <w:ind w:firstLineChars="150" w:firstLine="360"/>
        <w:jc w:val="left"/>
        <w:rPr>
          <w:sz w:val="24"/>
        </w:rPr>
      </w:pPr>
    </w:p>
    <w:p w:rsidR="00420E76" w:rsidRPr="00B30327" w:rsidRDefault="00420E76">
      <w:pPr>
        <w:spacing w:line="360" w:lineRule="auto"/>
        <w:ind w:firstLineChars="200" w:firstLine="480"/>
        <w:rPr>
          <w:sz w:val="24"/>
        </w:rPr>
      </w:pPr>
    </w:p>
    <w:sectPr w:rsidR="00420E76" w:rsidRPr="00B30327" w:rsidSect="006355BF">
      <w:footerReference w:type="even" r:id="rId10"/>
      <w:footerReference w:type="default" r:id="rId11"/>
      <w:pgSz w:w="11906" w:h="16838"/>
      <w:pgMar w:top="1134" w:right="1797" w:bottom="73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5A" w:rsidRDefault="00802B5A">
      <w:r>
        <w:separator/>
      </w:r>
    </w:p>
  </w:endnote>
  <w:endnote w:type="continuationSeparator" w:id="0">
    <w:p w:rsidR="00802B5A" w:rsidRDefault="0080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76" w:rsidRDefault="006355BF">
    <w:pPr>
      <w:pStyle w:val="a8"/>
      <w:framePr w:wrap="around" w:vAnchor="text" w:hAnchor="margin" w:xAlign="center" w:y="1"/>
      <w:rPr>
        <w:rStyle w:val="ad"/>
      </w:rPr>
    </w:pPr>
    <w:r>
      <w:rPr>
        <w:rStyle w:val="ad"/>
      </w:rPr>
      <w:fldChar w:fldCharType="begin"/>
    </w:r>
    <w:r w:rsidR="0018573C">
      <w:rPr>
        <w:rStyle w:val="ad"/>
      </w:rPr>
      <w:instrText xml:space="preserve">PAGE  </w:instrText>
    </w:r>
    <w:r>
      <w:rPr>
        <w:rStyle w:val="ad"/>
      </w:rPr>
      <w:fldChar w:fldCharType="end"/>
    </w:r>
  </w:p>
  <w:p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rsidR="00420E76" w:rsidRDefault="006355BF">
        <w:pPr>
          <w:pStyle w:val="a8"/>
          <w:jc w:val="center"/>
        </w:pPr>
        <w:r>
          <w:fldChar w:fldCharType="begin"/>
        </w:r>
        <w:r w:rsidR="0018573C">
          <w:instrText>PAGE   \* MERGEFORMAT</w:instrText>
        </w:r>
        <w:r>
          <w:fldChar w:fldCharType="separate"/>
        </w:r>
        <w:r w:rsidR="008579E1" w:rsidRPr="008579E1">
          <w:rPr>
            <w:noProof/>
            <w:lang w:val="zh-CN"/>
          </w:rPr>
          <w:t>5</w:t>
        </w:r>
        <w:r>
          <w:fldChar w:fldCharType="end"/>
        </w:r>
      </w:p>
    </w:sdtContent>
  </w:sdt>
  <w:p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5A" w:rsidRDefault="00802B5A">
      <w:r>
        <w:separator/>
      </w:r>
    </w:p>
  </w:footnote>
  <w:footnote w:type="continuationSeparator" w:id="0">
    <w:p w:rsidR="00802B5A" w:rsidRDefault="00802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78"/>
    <w:rsid w:val="00003477"/>
    <w:rsid w:val="00007292"/>
    <w:rsid w:val="0001021A"/>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5761"/>
    <w:rsid w:val="00046497"/>
    <w:rsid w:val="00046B6E"/>
    <w:rsid w:val="00053039"/>
    <w:rsid w:val="000533F2"/>
    <w:rsid w:val="0005381C"/>
    <w:rsid w:val="000551BC"/>
    <w:rsid w:val="0005718D"/>
    <w:rsid w:val="0006276A"/>
    <w:rsid w:val="00063783"/>
    <w:rsid w:val="000671F9"/>
    <w:rsid w:val="00075E74"/>
    <w:rsid w:val="00081D16"/>
    <w:rsid w:val="000821C1"/>
    <w:rsid w:val="0008483C"/>
    <w:rsid w:val="0008665D"/>
    <w:rsid w:val="00087A1C"/>
    <w:rsid w:val="0009018C"/>
    <w:rsid w:val="000904A6"/>
    <w:rsid w:val="00091C2C"/>
    <w:rsid w:val="00093620"/>
    <w:rsid w:val="00096D99"/>
    <w:rsid w:val="000972BD"/>
    <w:rsid w:val="000A0965"/>
    <w:rsid w:val="000A3B8C"/>
    <w:rsid w:val="000A49B3"/>
    <w:rsid w:val="000A5462"/>
    <w:rsid w:val="000A60AB"/>
    <w:rsid w:val="000A6D6B"/>
    <w:rsid w:val="000B0C64"/>
    <w:rsid w:val="000B321D"/>
    <w:rsid w:val="000B33EF"/>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07C54"/>
    <w:rsid w:val="00110907"/>
    <w:rsid w:val="001118C2"/>
    <w:rsid w:val="00113648"/>
    <w:rsid w:val="001137AA"/>
    <w:rsid w:val="001167D6"/>
    <w:rsid w:val="00123814"/>
    <w:rsid w:val="00125B54"/>
    <w:rsid w:val="00125FB5"/>
    <w:rsid w:val="00130A7A"/>
    <w:rsid w:val="00136826"/>
    <w:rsid w:val="00136A5B"/>
    <w:rsid w:val="00143AF0"/>
    <w:rsid w:val="00144DA6"/>
    <w:rsid w:val="001532DC"/>
    <w:rsid w:val="00153D7F"/>
    <w:rsid w:val="001558CC"/>
    <w:rsid w:val="0015778D"/>
    <w:rsid w:val="0016237B"/>
    <w:rsid w:val="00162B12"/>
    <w:rsid w:val="00162B7D"/>
    <w:rsid w:val="00164A6C"/>
    <w:rsid w:val="00165F00"/>
    <w:rsid w:val="0017027F"/>
    <w:rsid w:val="00171EF3"/>
    <w:rsid w:val="00172D2B"/>
    <w:rsid w:val="001767E3"/>
    <w:rsid w:val="001776F5"/>
    <w:rsid w:val="00180386"/>
    <w:rsid w:val="00180DDB"/>
    <w:rsid w:val="0018158E"/>
    <w:rsid w:val="00181DA2"/>
    <w:rsid w:val="001840FF"/>
    <w:rsid w:val="001842DF"/>
    <w:rsid w:val="0018573C"/>
    <w:rsid w:val="001A035A"/>
    <w:rsid w:val="001A047E"/>
    <w:rsid w:val="001A1841"/>
    <w:rsid w:val="001A4271"/>
    <w:rsid w:val="001A548B"/>
    <w:rsid w:val="001A7BBA"/>
    <w:rsid w:val="001B029A"/>
    <w:rsid w:val="001B34D7"/>
    <w:rsid w:val="001B5244"/>
    <w:rsid w:val="001B58C5"/>
    <w:rsid w:val="001B6141"/>
    <w:rsid w:val="001B7E6C"/>
    <w:rsid w:val="001C39BE"/>
    <w:rsid w:val="001C763E"/>
    <w:rsid w:val="001D3F45"/>
    <w:rsid w:val="001D45C4"/>
    <w:rsid w:val="001D4645"/>
    <w:rsid w:val="001D477F"/>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25112"/>
    <w:rsid w:val="00227288"/>
    <w:rsid w:val="00235CC7"/>
    <w:rsid w:val="002374B5"/>
    <w:rsid w:val="00240CBA"/>
    <w:rsid w:val="0024183E"/>
    <w:rsid w:val="00242118"/>
    <w:rsid w:val="00242B53"/>
    <w:rsid w:val="00245B45"/>
    <w:rsid w:val="00246E89"/>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32DB"/>
    <w:rsid w:val="00295CE0"/>
    <w:rsid w:val="002965DC"/>
    <w:rsid w:val="00297110"/>
    <w:rsid w:val="002A2123"/>
    <w:rsid w:val="002A4B7B"/>
    <w:rsid w:val="002A4CBB"/>
    <w:rsid w:val="002A501F"/>
    <w:rsid w:val="002A6DC6"/>
    <w:rsid w:val="002B0197"/>
    <w:rsid w:val="002B0E7C"/>
    <w:rsid w:val="002B7DD3"/>
    <w:rsid w:val="002C6207"/>
    <w:rsid w:val="002C6ADD"/>
    <w:rsid w:val="002D120E"/>
    <w:rsid w:val="002D3BF5"/>
    <w:rsid w:val="002D5045"/>
    <w:rsid w:val="002D515E"/>
    <w:rsid w:val="002E04A2"/>
    <w:rsid w:val="002E111D"/>
    <w:rsid w:val="002E1268"/>
    <w:rsid w:val="002E21C7"/>
    <w:rsid w:val="002E6785"/>
    <w:rsid w:val="002F02F1"/>
    <w:rsid w:val="002F2125"/>
    <w:rsid w:val="002F410F"/>
    <w:rsid w:val="002F6D97"/>
    <w:rsid w:val="00300907"/>
    <w:rsid w:val="003029EF"/>
    <w:rsid w:val="00305CA6"/>
    <w:rsid w:val="0030614C"/>
    <w:rsid w:val="00307FB3"/>
    <w:rsid w:val="00310C7C"/>
    <w:rsid w:val="00312F0F"/>
    <w:rsid w:val="003136AB"/>
    <w:rsid w:val="003158A3"/>
    <w:rsid w:val="00315FA6"/>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62AD"/>
    <w:rsid w:val="00386396"/>
    <w:rsid w:val="0038776B"/>
    <w:rsid w:val="003A4DF8"/>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132D"/>
    <w:rsid w:val="003F274F"/>
    <w:rsid w:val="003F69E9"/>
    <w:rsid w:val="003F74A9"/>
    <w:rsid w:val="003F79EC"/>
    <w:rsid w:val="0040575F"/>
    <w:rsid w:val="00406937"/>
    <w:rsid w:val="004103D0"/>
    <w:rsid w:val="004109B6"/>
    <w:rsid w:val="00410BEF"/>
    <w:rsid w:val="00413376"/>
    <w:rsid w:val="004142E4"/>
    <w:rsid w:val="004168F5"/>
    <w:rsid w:val="0041764E"/>
    <w:rsid w:val="00417CE3"/>
    <w:rsid w:val="004203EA"/>
    <w:rsid w:val="00420E76"/>
    <w:rsid w:val="004305FC"/>
    <w:rsid w:val="00431F73"/>
    <w:rsid w:val="004363F2"/>
    <w:rsid w:val="0043740F"/>
    <w:rsid w:val="00440022"/>
    <w:rsid w:val="0044080B"/>
    <w:rsid w:val="00441042"/>
    <w:rsid w:val="00441897"/>
    <w:rsid w:val="00447CBE"/>
    <w:rsid w:val="00447F83"/>
    <w:rsid w:val="00453665"/>
    <w:rsid w:val="00454FC4"/>
    <w:rsid w:val="004560EE"/>
    <w:rsid w:val="00465FF3"/>
    <w:rsid w:val="00466BCF"/>
    <w:rsid w:val="00466D4C"/>
    <w:rsid w:val="004707A8"/>
    <w:rsid w:val="00471E3F"/>
    <w:rsid w:val="004745C5"/>
    <w:rsid w:val="004810C7"/>
    <w:rsid w:val="00483989"/>
    <w:rsid w:val="00485018"/>
    <w:rsid w:val="00491564"/>
    <w:rsid w:val="004949DC"/>
    <w:rsid w:val="00494BB1"/>
    <w:rsid w:val="004A0655"/>
    <w:rsid w:val="004A1F72"/>
    <w:rsid w:val="004A4DBF"/>
    <w:rsid w:val="004A595A"/>
    <w:rsid w:val="004B09E7"/>
    <w:rsid w:val="004B2092"/>
    <w:rsid w:val="004B4DA1"/>
    <w:rsid w:val="004B5FAA"/>
    <w:rsid w:val="004B64D9"/>
    <w:rsid w:val="004B784A"/>
    <w:rsid w:val="004C217E"/>
    <w:rsid w:val="004C2B1B"/>
    <w:rsid w:val="004D0553"/>
    <w:rsid w:val="004D2BD4"/>
    <w:rsid w:val="004E1DBE"/>
    <w:rsid w:val="004E2BAE"/>
    <w:rsid w:val="004E71D2"/>
    <w:rsid w:val="004E76A0"/>
    <w:rsid w:val="004F0ECD"/>
    <w:rsid w:val="004F21F8"/>
    <w:rsid w:val="004F654A"/>
    <w:rsid w:val="004F6572"/>
    <w:rsid w:val="004F7B53"/>
    <w:rsid w:val="00500D10"/>
    <w:rsid w:val="005062B7"/>
    <w:rsid w:val="0051430C"/>
    <w:rsid w:val="00514C8B"/>
    <w:rsid w:val="00514DCE"/>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57CB"/>
    <w:rsid w:val="00597A21"/>
    <w:rsid w:val="005A4F24"/>
    <w:rsid w:val="005A6DEC"/>
    <w:rsid w:val="005A6E0F"/>
    <w:rsid w:val="005A76DF"/>
    <w:rsid w:val="005B0D3E"/>
    <w:rsid w:val="005B643F"/>
    <w:rsid w:val="005B6E18"/>
    <w:rsid w:val="005B777C"/>
    <w:rsid w:val="005C23FE"/>
    <w:rsid w:val="005C4C52"/>
    <w:rsid w:val="005C54EA"/>
    <w:rsid w:val="005C5EEA"/>
    <w:rsid w:val="005C64BE"/>
    <w:rsid w:val="005D29EE"/>
    <w:rsid w:val="005D3B3F"/>
    <w:rsid w:val="005D6354"/>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13F0"/>
    <w:rsid w:val="00632C93"/>
    <w:rsid w:val="006333DB"/>
    <w:rsid w:val="006354AB"/>
    <w:rsid w:val="006355BF"/>
    <w:rsid w:val="00636869"/>
    <w:rsid w:val="00640785"/>
    <w:rsid w:val="0064184B"/>
    <w:rsid w:val="00645D0E"/>
    <w:rsid w:val="0065130D"/>
    <w:rsid w:val="00651CC8"/>
    <w:rsid w:val="0065723D"/>
    <w:rsid w:val="00661195"/>
    <w:rsid w:val="00663634"/>
    <w:rsid w:val="00663ED6"/>
    <w:rsid w:val="0066671F"/>
    <w:rsid w:val="006739D0"/>
    <w:rsid w:val="00675452"/>
    <w:rsid w:val="00677476"/>
    <w:rsid w:val="006818F1"/>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D6934"/>
    <w:rsid w:val="006E0DB3"/>
    <w:rsid w:val="006E1779"/>
    <w:rsid w:val="006E2225"/>
    <w:rsid w:val="006E2AD8"/>
    <w:rsid w:val="006E36D0"/>
    <w:rsid w:val="006E4665"/>
    <w:rsid w:val="006E5574"/>
    <w:rsid w:val="006E7A13"/>
    <w:rsid w:val="006F17D1"/>
    <w:rsid w:val="006F525D"/>
    <w:rsid w:val="006F66E5"/>
    <w:rsid w:val="006F7D6D"/>
    <w:rsid w:val="0070032C"/>
    <w:rsid w:val="007014B8"/>
    <w:rsid w:val="00701C39"/>
    <w:rsid w:val="0070727C"/>
    <w:rsid w:val="00710733"/>
    <w:rsid w:val="00710F09"/>
    <w:rsid w:val="0071372D"/>
    <w:rsid w:val="007139C5"/>
    <w:rsid w:val="00714F31"/>
    <w:rsid w:val="00716BB1"/>
    <w:rsid w:val="007205B2"/>
    <w:rsid w:val="00721B92"/>
    <w:rsid w:val="00725AAA"/>
    <w:rsid w:val="00726F2A"/>
    <w:rsid w:val="00727D1C"/>
    <w:rsid w:val="00733559"/>
    <w:rsid w:val="007360D6"/>
    <w:rsid w:val="00741929"/>
    <w:rsid w:val="00742A50"/>
    <w:rsid w:val="007430C3"/>
    <w:rsid w:val="00743E4F"/>
    <w:rsid w:val="00744181"/>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57E1"/>
    <w:rsid w:val="0079603F"/>
    <w:rsid w:val="007966F9"/>
    <w:rsid w:val="00796F8C"/>
    <w:rsid w:val="007A0B9C"/>
    <w:rsid w:val="007A26B9"/>
    <w:rsid w:val="007A604A"/>
    <w:rsid w:val="007A639C"/>
    <w:rsid w:val="007A73A6"/>
    <w:rsid w:val="007B0F78"/>
    <w:rsid w:val="007B1880"/>
    <w:rsid w:val="007B1D8E"/>
    <w:rsid w:val="007B57CA"/>
    <w:rsid w:val="007B630B"/>
    <w:rsid w:val="007C0E00"/>
    <w:rsid w:val="007C18D2"/>
    <w:rsid w:val="007C63E1"/>
    <w:rsid w:val="007C6709"/>
    <w:rsid w:val="007C7D8D"/>
    <w:rsid w:val="007D1871"/>
    <w:rsid w:val="007D4D59"/>
    <w:rsid w:val="007D7981"/>
    <w:rsid w:val="007E06C2"/>
    <w:rsid w:val="007E11CC"/>
    <w:rsid w:val="007E3CF9"/>
    <w:rsid w:val="007E4F5F"/>
    <w:rsid w:val="007E5359"/>
    <w:rsid w:val="007E53CA"/>
    <w:rsid w:val="007E6B2A"/>
    <w:rsid w:val="007E78F0"/>
    <w:rsid w:val="007F4082"/>
    <w:rsid w:val="007F589C"/>
    <w:rsid w:val="00801C20"/>
    <w:rsid w:val="00802B5A"/>
    <w:rsid w:val="008036D1"/>
    <w:rsid w:val="00803DCC"/>
    <w:rsid w:val="00804308"/>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79E1"/>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86710"/>
    <w:rsid w:val="0089462F"/>
    <w:rsid w:val="00894ADA"/>
    <w:rsid w:val="00895D07"/>
    <w:rsid w:val="00896ADF"/>
    <w:rsid w:val="00896DC9"/>
    <w:rsid w:val="008A2BA7"/>
    <w:rsid w:val="008A57C4"/>
    <w:rsid w:val="008A5E72"/>
    <w:rsid w:val="008A62A6"/>
    <w:rsid w:val="008A7CC2"/>
    <w:rsid w:val="008B0491"/>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07DAE"/>
    <w:rsid w:val="00913FA7"/>
    <w:rsid w:val="009143BC"/>
    <w:rsid w:val="00914C06"/>
    <w:rsid w:val="00916EDE"/>
    <w:rsid w:val="0092671F"/>
    <w:rsid w:val="009274F1"/>
    <w:rsid w:val="00941AFC"/>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5CD"/>
    <w:rsid w:val="00987CB3"/>
    <w:rsid w:val="009945E7"/>
    <w:rsid w:val="00997606"/>
    <w:rsid w:val="009A09AD"/>
    <w:rsid w:val="009A1357"/>
    <w:rsid w:val="009A1B87"/>
    <w:rsid w:val="009A1D7E"/>
    <w:rsid w:val="009A3880"/>
    <w:rsid w:val="009A434B"/>
    <w:rsid w:val="009A5FAE"/>
    <w:rsid w:val="009A6367"/>
    <w:rsid w:val="009B4453"/>
    <w:rsid w:val="009B5114"/>
    <w:rsid w:val="009B5615"/>
    <w:rsid w:val="009B5B6A"/>
    <w:rsid w:val="009C0F29"/>
    <w:rsid w:val="009C6BBE"/>
    <w:rsid w:val="009D06F7"/>
    <w:rsid w:val="009D23CF"/>
    <w:rsid w:val="009D28D0"/>
    <w:rsid w:val="009D3024"/>
    <w:rsid w:val="009D36DB"/>
    <w:rsid w:val="009D6579"/>
    <w:rsid w:val="009E28E8"/>
    <w:rsid w:val="009E3070"/>
    <w:rsid w:val="009F29DB"/>
    <w:rsid w:val="009F3363"/>
    <w:rsid w:val="009F715C"/>
    <w:rsid w:val="009F741B"/>
    <w:rsid w:val="00A033C0"/>
    <w:rsid w:val="00A053B6"/>
    <w:rsid w:val="00A10FFA"/>
    <w:rsid w:val="00A11A40"/>
    <w:rsid w:val="00A17722"/>
    <w:rsid w:val="00A205A6"/>
    <w:rsid w:val="00A22BC9"/>
    <w:rsid w:val="00A230A3"/>
    <w:rsid w:val="00A2788E"/>
    <w:rsid w:val="00A27F7E"/>
    <w:rsid w:val="00A3088C"/>
    <w:rsid w:val="00A31C34"/>
    <w:rsid w:val="00A325B3"/>
    <w:rsid w:val="00A32FC8"/>
    <w:rsid w:val="00A33E22"/>
    <w:rsid w:val="00A359C7"/>
    <w:rsid w:val="00A37BC5"/>
    <w:rsid w:val="00A41059"/>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812E5"/>
    <w:rsid w:val="00A83737"/>
    <w:rsid w:val="00A913AD"/>
    <w:rsid w:val="00A93BBE"/>
    <w:rsid w:val="00A957C8"/>
    <w:rsid w:val="00A96557"/>
    <w:rsid w:val="00AA2BC5"/>
    <w:rsid w:val="00AA4E8C"/>
    <w:rsid w:val="00AB3B11"/>
    <w:rsid w:val="00AC3FE2"/>
    <w:rsid w:val="00AC5642"/>
    <w:rsid w:val="00AC6793"/>
    <w:rsid w:val="00AD3642"/>
    <w:rsid w:val="00AD69E1"/>
    <w:rsid w:val="00AE047D"/>
    <w:rsid w:val="00AE1E30"/>
    <w:rsid w:val="00AF2061"/>
    <w:rsid w:val="00AF492B"/>
    <w:rsid w:val="00AF5526"/>
    <w:rsid w:val="00AF559D"/>
    <w:rsid w:val="00B0451B"/>
    <w:rsid w:val="00B11417"/>
    <w:rsid w:val="00B165B3"/>
    <w:rsid w:val="00B22538"/>
    <w:rsid w:val="00B250A9"/>
    <w:rsid w:val="00B25566"/>
    <w:rsid w:val="00B25BB4"/>
    <w:rsid w:val="00B30327"/>
    <w:rsid w:val="00B3220B"/>
    <w:rsid w:val="00B37975"/>
    <w:rsid w:val="00B4244E"/>
    <w:rsid w:val="00B51D54"/>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1787"/>
    <w:rsid w:val="00BC2526"/>
    <w:rsid w:val="00BD0976"/>
    <w:rsid w:val="00BD30C6"/>
    <w:rsid w:val="00BD3E79"/>
    <w:rsid w:val="00BD4094"/>
    <w:rsid w:val="00BD674B"/>
    <w:rsid w:val="00BD6A0C"/>
    <w:rsid w:val="00BD790C"/>
    <w:rsid w:val="00BE3C30"/>
    <w:rsid w:val="00BE62D1"/>
    <w:rsid w:val="00BF2BE8"/>
    <w:rsid w:val="00BF31BB"/>
    <w:rsid w:val="00BF3D9F"/>
    <w:rsid w:val="00BF3E5C"/>
    <w:rsid w:val="00BF6EDA"/>
    <w:rsid w:val="00C010B4"/>
    <w:rsid w:val="00C019A5"/>
    <w:rsid w:val="00C031CB"/>
    <w:rsid w:val="00C03D97"/>
    <w:rsid w:val="00C074F8"/>
    <w:rsid w:val="00C10A8A"/>
    <w:rsid w:val="00C1246C"/>
    <w:rsid w:val="00C15B41"/>
    <w:rsid w:val="00C1759D"/>
    <w:rsid w:val="00C23256"/>
    <w:rsid w:val="00C23D88"/>
    <w:rsid w:val="00C2726D"/>
    <w:rsid w:val="00C34E8E"/>
    <w:rsid w:val="00C36579"/>
    <w:rsid w:val="00C40676"/>
    <w:rsid w:val="00C451DC"/>
    <w:rsid w:val="00C45907"/>
    <w:rsid w:val="00C45F53"/>
    <w:rsid w:val="00C47DCA"/>
    <w:rsid w:val="00C50A2F"/>
    <w:rsid w:val="00C53281"/>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43A3"/>
    <w:rsid w:val="00C96429"/>
    <w:rsid w:val="00CA0108"/>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3239"/>
    <w:rsid w:val="00CE74AE"/>
    <w:rsid w:val="00CF34CA"/>
    <w:rsid w:val="00CF3F82"/>
    <w:rsid w:val="00CF4EF4"/>
    <w:rsid w:val="00CF6019"/>
    <w:rsid w:val="00CF7A09"/>
    <w:rsid w:val="00D01327"/>
    <w:rsid w:val="00D01BCD"/>
    <w:rsid w:val="00D022BA"/>
    <w:rsid w:val="00D028A9"/>
    <w:rsid w:val="00D02AB6"/>
    <w:rsid w:val="00D03199"/>
    <w:rsid w:val="00D11652"/>
    <w:rsid w:val="00D1203D"/>
    <w:rsid w:val="00D134BA"/>
    <w:rsid w:val="00D13520"/>
    <w:rsid w:val="00D1522F"/>
    <w:rsid w:val="00D16706"/>
    <w:rsid w:val="00D16B31"/>
    <w:rsid w:val="00D20322"/>
    <w:rsid w:val="00D21339"/>
    <w:rsid w:val="00D23CBD"/>
    <w:rsid w:val="00D24903"/>
    <w:rsid w:val="00D3166F"/>
    <w:rsid w:val="00D320A0"/>
    <w:rsid w:val="00D34428"/>
    <w:rsid w:val="00D35D5E"/>
    <w:rsid w:val="00D35E77"/>
    <w:rsid w:val="00D4086F"/>
    <w:rsid w:val="00D410CC"/>
    <w:rsid w:val="00D435D1"/>
    <w:rsid w:val="00D43622"/>
    <w:rsid w:val="00D44743"/>
    <w:rsid w:val="00D47DFE"/>
    <w:rsid w:val="00D50582"/>
    <w:rsid w:val="00D51C88"/>
    <w:rsid w:val="00D5519A"/>
    <w:rsid w:val="00D61303"/>
    <w:rsid w:val="00D621C3"/>
    <w:rsid w:val="00D628B8"/>
    <w:rsid w:val="00D63DFB"/>
    <w:rsid w:val="00D67BE7"/>
    <w:rsid w:val="00D7148F"/>
    <w:rsid w:val="00D716E0"/>
    <w:rsid w:val="00D7196A"/>
    <w:rsid w:val="00D7619B"/>
    <w:rsid w:val="00D768A4"/>
    <w:rsid w:val="00D77751"/>
    <w:rsid w:val="00D82EAF"/>
    <w:rsid w:val="00D83148"/>
    <w:rsid w:val="00D83985"/>
    <w:rsid w:val="00D843A3"/>
    <w:rsid w:val="00D84C48"/>
    <w:rsid w:val="00D855F1"/>
    <w:rsid w:val="00D86A08"/>
    <w:rsid w:val="00D91CAC"/>
    <w:rsid w:val="00DA15D7"/>
    <w:rsid w:val="00DA1D59"/>
    <w:rsid w:val="00DA2265"/>
    <w:rsid w:val="00DA3F6A"/>
    <w:rsid w:val="00DA5E38"/>
    <w:rsid w:val="00DB0B51"/>
    <w:rsid w:val="00DB2FB2"/>
    <w:rsid w:val="00DB4E25"/>
    <w:rsid w:val="00DB5131"/>
    <w:rsid w:val="00DB592D"/>
    <w:rsid w:val="00DB59F2"/>
    <w:rsid w:val="00DB663B"/>
    <w:rsid w:val="00DB7200"/>
    <w:rsid w:val="00DC09EA"/>
    <w:rsid w:val="00DC2CF7"/>
    <w:rsid w:val="00DC4BCE"/>
    <w:rsid w:val="00DC5C92"/>
    <w:rsid w:val="00DD041C"/>
    <w:rsid w:val="00DD0541"/>
    <w:rsid w:val="00DD12D6"/>
    <w:rsid w:val="00DD4160"/>
    <w:rsid w:val="00DD5128"/>
    <w:rsid w:val="00DD7708"/>
    <w:rsid w:val="00DD7AA1"/>
    <w:rsid w:val="00DE1369"/>
    <w:rsid w:val="00DE1807"/>
    <w:rsid w:val="00DE5431"/>
    <w:rsid w:val="00DE6E43"/>
    <w:rsid w:val="00DF0FFC"/>
    <w:rsid w:val="00DF1390"/>
    <w:rsid w:val="00DF1518"/>
    <w:rsid w:val="00DF263F"/>
    <w:rsid w:val="00DF2B69"/>
    <w:rsid w:val="00DF3D96"/>
    <w:rsid w:val="00DF6FDE"/>
    <w:rsid w:val="00E0232E"/>
    <w:rsid w:val="00E02897"/>
    <w:rsid w:val="00E100A2"/>
    <w:rsid w:val="00E10E77"/>
    <w:rsid w:val="00E1404A"/>
    <w:rsid w:val="00E15092"/>
    <w:rsid w:val="00E16264"/>
    <w:rsid w:val="00E20BB3"/>
    <w:rsid w:val="00E307F0"/>
    <w:rsid w:val="00E31A40"/>
    <w:rsid w:val="00E32D0C"/>
    <w:rsid w:val="00E32E9A"/>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1E47"/>
    <w:rsid w:val="00E63A39"/>
    <w:rsid w:val="00E64C7A"/>
    <w:rsid w:val="00E65650"/>
    <w:rsid w:val="00E66621"/>
    <w:rsid w:val="00E674B4"/>
    <w:rsid w:val="00E679D5"/>
    <w:rsid w:val="00E75CE7"/>
    <w:rsid w:val="00E83D6A"/>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D5E14"/>
    <w:rsid w:val="00ED686A"/>
    <w:rsid w:val="00EE1521"/>
    <w:rsid w:val="00EE1DA5"/>
    <w:rsid w:val="00EE552F"/>
    <w:rsid w:val="00EE5DD0"/>
    <w:rsid w:val="00EE6331"/>
    <w:rsid w:val="00EE77DA"/>
    <w:rsid w:val="00EF1FEF"/>
    <w:rsid w:val="00EF461C"/>
    <w:rsid w:val="00EF6E29"/>
    <w:rsid w:val="00F149AC"/>
    <w:rsid w:val="00F16195"/>
    <w:rsid w:val="00F16584"/>
    <w:rsid w:val="00F17D0F"/>
    <w:rsid w:val="00F200A4"/>
    <w:rsid w:val="00F21381"/>
    <w:rsid w:val="00F218D5"/>
    <w:rsid w:val="00F23237"/>
    <w:rsid w:val="00F2333D"/>
    <w:rsid w:val="00F272C8"/>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1BA2"/>
    <w:rsid w:val="00F7257A"/>
    <w:rsid w:val="00F7335B"/>
    <w:rsid w:val="00F76419"/>
    <w:rsid w:val="00F778F5"/>
    <w:rsid w:val="00F821FA"/>
    <w:rsid w:val="00F83A13"/>
    <w:rsid w:val="00F85A23"/>
    <w:rsid w:val="00F90A22"/>
    <w:rsid w:val="00F91411"/>
    <w:rsid w:val="00FA07A8"/>
    <w:rsid w:val="00FA15C3"/>
    <w:rsid w:val="00FA2588"/>
    <w:rsid w:val="00FA6160"/>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BF"/>
    <w:pPr>
      <w:widowControl w:val="0"/>
      <w:jc w:val="both"/>
    </w:pPr>
    <w:rPr>
      <w:kern w:val="2"/>
      <w:sz w:val="21"/>
      <w:szCs w:val="24"/>
    </w:rPr>
  </w:style>
  <w:style w:type="paragraph" w:styleId="1">
    <w:name w:val="heading 1"/>
    <w:basedOn w:val="a0"/>
    <w:next w:val="a"/>
    <w:qFormat/>
    <w:rsid w:val="006355BF"/>
    <w:pPr>
      <w:keepNext/>
      <w:keepLines/>
      <w:numPr>
        <w:numId w:val="1"/>
      </w:numPr>
      <w:spacing w:before="340" w:after="330"/>
    </w:pPr>
    <w:rPr>
      <w:bCs w:val="0"/>
      <w:kern w:val="44"/>
      <w:sz w:val="28"/>
      <w:szCs w:val="44"/>
    </w:rPr>
  </w:style>
  <w:style w:type="paragraph" w:styleId="2">
    <w:name w:val="heading 2"/>
    <w:basedOn w:val="a0"/>
    <w:next w:val="a"/>
    <w:qFormat/>
    <w:rsid w:val="006355BF"/>
    <w:pPr>
      <w:keepNext/>
      <w:keepLines/>
      <w:spacing w:before="260" w:after="260"/>
      <w:jc w:val="left"/>
      <w:outlineLvl w:val="1"/>
    </w:pPr>
    <w:rPr>
      <w:bCs w:val="0"/>
      <w:sz w:val="24"/>
    </w:rPr>
  </w:style>
  <w:style w:type="paragraph" w:styleId="3">
    <w:name w:val="heading 3"/>
    <w:basedOn w:val="a0"/>
    <w:next w:val="a"/>
    <w:qFormat/>
    <w:rsid w:val="006355BF"/>
    <w:pPr>
      <w:keepNext/>
      <w:keepLines/>
      <w:spacing w:before="260" w:after="260"/>
      <w:jc w:val="left"/>
      <w:outlineLvl w:val="2"/>
    </w:pPr>
    <w:rPr>
      <w:bCs w:val="0"/>
      <w:sz w:val="21"/>
    </w:rPr>
  </w:style>
  <w:style w:type="paragraph" w:styleId="4">
    <w:name w:val="heading 4"/>
    <w:basedOn w:val="a0"/>
    <w:next w:val="a"/>
    <w:qFormat/>
    <w:rsid w:val="006355BF"/>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rsid w:val="006355B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rsid w:val="006355B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6355B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rsid w:val="006355B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6355B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355BF"/>
    <w:pPr>
      <w:spacing w:before="240" w:after="60"/>
      <w:jc w:val="center"/>
      <w:outlineLvl w:val="0"/>
    </w:pPr>
    <w:rPr>
      <w:rFonts w:ascii="Arial" w:hAnsi="Arial" w:cs="Arial"/>
      <w:b/>
      <w:bCs/>
      <w:sz w:val="32"/>
      <w:szCs w:val="32"/>
    </w:rPr>
  </w:style>
  <w:style w:type="paragraph" w:styleId="30">
    <w:name w:val="List 3"/>
    <w:basedOn w:val="a"/>
    <w:rsid w:val="006355BF"/>
    <w:pPr>
      <w:ind w:leftChars="400" w:left="100" w:hangingChars="200" w:hanging="200"/>
    </w:pPr>
  </w:style>
  <w:style w:type="paragraph" w:styleId="a4">
    <w:name w:val="annotation text"/>
    <w:basedOn w:val="a"/>
    <w:link w:val="Char"/>
    <w:rsid w:val="006355BF"/>
    <w:pPr>
      <w:jc w:val="left"/>
    </w:pPr>
  </w:style>
  <w:style w:type="paragraph" w:styleId="a5">
    <w:name w:val="Body Text Indent"/>
    <w:basedOn w:val="a"/>
    <w:rsid w:val="006355BF"/>
    <w:pPr>
      <w:ind w:firstLineChars="200" w:firstLine="560"/>
    </w:pPr>
    <w:rPr>
      <w:rFonts w:ascii="仿宋_GB2312" w:eastAsia="仿宋_GB2312"/>
      <w:sz w:val="28"/>
    </w:rPr>
  </w:style>
  <w:style w:type="paragraph" w:styleId="a6">
    <w:name w:val="Date"/>
    <w:basedOn w:val="a"/>
    <w:next w:val="a"/>
    <w:qFormat/>
    <w:rsid w:val="006355BF"/>
    <w:pPr>
      <w:ind w:leftChars="2500" w:left="100"/>
    </w:pPr>
  </w:style>
  <w:style w:type="paragraph" w:styleId="a7">
    <w:name w:val="Balloon Text"/>
    <w:basedOn w:val="a"/>
    <w:semiHidden/>
    <w:rsid w:val="006355BF"/>
    <w:rPr>
      <w:sz w:val="18"/>
      <w:szCs w:val="18"/>
    </w:rPr>
  </w:style>
  <w:style w:type="paragraph" w:styleId="a8">
    <w:name w:val="footer"/>
    <w:basedOn w:val="a"/>
    <w:link w:val="Char0"/>
    <w:uiPriority w:val="99"/>
    <w:rsid w:val="006355BF"/>
    <w:pPr>
      <w:tabs>
        <w:tab w:val="center" w:pos="4153"/>
        <w:tab w:val="right" w:pos="8306"/>
      </w:tabs>
      <w:snapToGrid w:val="0"/>
      <w:jc w:val="left"/>
    </w:pPr>
    <w:rPr>
      <w:sz w:val="18"/>
      <w:szCs w:val="18"/>
    </w:rPr>
  </w:style>
  <w:style w:type="paragraph" w:styleId="a9">
    <w:name w:val="header"/>
    <w:basedOn w:val="a"/>
    <w:rsid w:val="006355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6355BF"/>
    <w:rPr>
      <w:szCs w:val="20"/>
    </w:rPr>
  </w:style>
  <w:style w:type="paragraph" w:styleId="aa">
    <w:name w:val="footnote text"/>
    <w:basedOn w:val="a"/>
    <w:semiHidden/>
    <w:qFormat/>
    <w:rsid w:val="006355BF"/>
    <w:pPr>
      <w:snapToGrid w:val="0"/>
      <w:jc w:val="left"/>
    </w:pPr>
    <w:rPr>
      <w:sz w:val="18"/>
      <w:szCs w:val="18"/>
    </w:rPr>
  </w:style>
  <w:style w:type="paragraph" w:styleId="ab">
    <w:name w:val="Normal (Web)"/>
    <w:basedOn w:val="a"/>
    <w:uiPriority w:val="99"/>
    <w:rsid w:val="006355BF"/>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sid w:val="006355BF"/>
    <w:rPr>
      <w:b/>
      <w:bCs/>
    </w:rPr>
  </w:style>
  <w:style w:type="character" w:styleId="ad">
    <w:name w:val="page number"/>
    <w:basedOn w:val="a1"/>
    <w:rsid w:val="006355BF"/>
  </w:style>
  <w:style w:type="character" w:styleId="ae">
    <w:name w:val="Hyperlink"/>
    <w:basedOn w:val="a1"/>
    <w:rsid w:val="006355BF"/>
    <w:rPr>
      <w:color w:val="0000FF"/>
      <w:u w:val="single"/>
    </w:rPr>
  </w:style>
  <w:style w:type="character" w:styleId="af">
    <w:name w:val="annotation reference"/>
    <w:rsid w:val="006355BF"/>
    <w:rPr>
      <w:sz w:val="21"/>
      <w:szCs w:val="21"/>
    </w:rPr>
  </w:style>
  <w:style w:type="character" w:styleId="af0">
    <w:name w:val="footnote reference"/>
    <w:semiHidden/>
    <w:rsid w:val="006355BF"/>
    <w:rPr>
      <w:vertAlign w:val="superscript"/>
    </w:rPr>
  </w:style>
  <w:style w:type="character" w:customStyle="1" w:styleId="da">
    <w:name w:val="da"/>
    <w:basedOn w:val="a1"/>
    <w:qFormat/>
    <w:rsid w:val="006355BF"/>
  </w:style>
  <w:style w:type="character" w:customStyle="1" w:styleId="Char0">
    <w:name w:val="页脚 Char"/>
    <w:link w:val="a8"/>
    <w:uiPriority w:val="99"/>
    <w:qFormat/>
    <w:rsid w:val="006355BF"/>
    <w:rPr>
      <w:rFonts w:eastAsia="宋体"/>
      <w:kern w:val="2"/>
      <w:sz w:val="18"/>
      <w:szCs w:val="18"/>
      <w:lang w:val="en-US" w:eastAsia="zh-CN" w:bidi="ar-SA"/>
    </w:rPr>
  </w:style>
  <w:style w:type="paragraph" w:customStyle="1" w:styleId="Default">
    <w:name w:val="Default"/>
    <w:rsid w:val="006355BF"/>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rsid w:val="006355BF"/>
    <w:pPr>
      <w:tabs>
        <w:tab w:val="left" w:pos="1500"/>
      </w:tabs>
      <w:spacing w:line="360" w:lineRule="auto"/>
      <w:ind w:left="1500" w:firstLineChars="200" w:firstLine="480"/>
    </w:pPr>
    <w:rPr>
      <w:sz w:val="24"/>
    </w:rPr>
  </w:style>
  <w:style w:type="paragraph" w:styleId="af1">
    <w:name w:val="List Paragraph"/>
    <w:basedOn w:val="a"/>
    <w:uiPriority w:val="34"/>
    <w:qFormat/>
    <w:rsid w:val="006355BF"/>
    <w:pPr>
      <w:ind w:firstLineChars="200" w:firstLine="420"/>
    </w:pPr>
    <w:rPr>
      <w:sz w:val="28"/>
    </w:rPr>
  </w:style>
  <w:style w:type="paragraph" w:customStyle="1" w:styleId="11">
    <w:name w:val="修订1"/>
    <w:hidden/>
    <w:uiPriority w:val="99"/>
    <w:semiHidden/>
    <w:qFormat/>
    <w:rsid w:val="006355BF"/>
    <w:rPr>
      <w:kern w:val="2"/>
      <w:sz w:val="21"/>
      <w:szCs w:val="24"/>
    </w:rPr>
  </w:style>
  <w:style w:type="character" w:customStyle="1" w:styleId="Char">
    <w:name w:val="批注文字 Char"/>
    <w:link w:val="a4"/>
    <w:qFormat/>
    <w:rsid w:val="006355BF"/>
    <w:rPr>
      <w:kern w:val="2"/>
      <w:sz w:val="21"/>
      <w:szCs w:val="24"/>
    </w:rPr>
  </w:style>
  <w:style w:type="character" w:customStyle="1" w:styleId="Char1">
    <w:name w:val="批注主题 Char"/>
    <w:link w:val="ac"/>
    <w:rsid w:val="006355B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ECB59-BA09-44D8-928C-C1B3C8BD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1500</Words>
  <Characters>8552</Characters>
  <Application>Microsoft Office Word</Application>
  <DocSecurity>0</DocSecurity>
  <Lines>71</Lines>
  <Paragraphs>20</Paragraphs>
  <ScaleCrop>false</ScaleCrop>
  <Company>COMMONORG</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MTS-20150320</cp:lastModifiedBy>
  <cp:revision>28</cp:revision>
  <cp:lastPrinted>2020-04-02T03:02:00Z</cp:lastPrinted>
  <dcterms:created xsi:type="dcterms:W3CDTF">2021-03-26T07:50:00Z</dcterms:created>
  <dcterms:modified xsi:type="dcterms:W3CDTF">2021-04-22T07:29:00Z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