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1418"/>
        </w:tabs>
        <w:spacing w:line="140" w:lineRule="exact"/>
        <w:rPr>
          <w:rFonts w:hint="eastAsia" w:ascii="宋体" w:hAnsi="宋体" w:cs="宋体"/>
          <w:b/>
          <w:bCs/>
          <w:sz w:val="21"/>
          <w:szCs w:val="21"/>
          <w:highlight w:val="none"/>
        </w:rPr>
      </w:pPr>
      <w:r>
        <w:rPr>
          <w:rFonts w:hint="eastAsia" w:ascii="宋体" w:hAnsi="宋体" w:cs="宋体"/>
          <w:b/>
          <w:bCs/>
          <w:sz w:val="21"/>
          <w:szCs w:val="21"/>
          <w:highlight w:val="none"/>
        </w:rPr>
        <w:t>企业及同业金融电子渠道服务协议</w:t>
      </w:r>
    </w:p>
    <w:p>
      <w:pPr>
        <w:keepNext w:val="0"/>
        <w:keepLines w:val="0"/>
        <w:pageBreakBefore w:val="0"/>
        <w:kinsoku/>
        <w:wordWrap/>
        <w:overflowPunct/>
        <w:topLinePunct w:val="0"/>
        <w:autoSpaceDE/>
        <w:autoSpaceDN/>
        <w:bidi w:val="0"/>
        <w:adjustRightInd/>
        <w:snapToGrid/>
        <w:spacing w:line="140" w:lineRule="exact"/>
        <w:ind w:firstLine="2990" w:firstLineChars="2300"/>
        <w:jc w:val="right"/>
        <w:textAlignment w:val="auto"/>
        <w:outlineLvl w:val="0"/>
        <w:rPr>
          <w:rFonts w:hint="eastAsia" w:ascii="宋体" w:hAnsi="宋体" w:eastAsia="宋体" w:cs="宋体"/>
          <w:sz w:val="13"/>
          <w:szCs w:val="13"/>
          <w:highlight w:val="none"/>
        </w:rPr>
      </w:pPr>
      <w:r>
        <w:rPr>
          <w:rFonts w:hint="eastAsia" w:ascii="宋体" w:hAnsi="宋体" w:eastAsia="宋体" w:cs="宋体"/>
          <w:sz w:val="13"/>
          <w:szCs w:val="13"/>
          <w:highlight w:val="none"/>
        </w:rPr>
        <w:t xml:space="preserve">                                       协议号：_____</w:t>
      </w:r>
      <w:r>
        <w:rPr>
          <w:rFonts w:hint="eastAsia" w:ascii="宋体" w:hAnsi="宋体" w:eastAsia="宋体" w:cs="宋体"/>
          <w:sz w:val="13"/>
          <w:szCs w:val="13"/>
          <w:highlight w:val="none"/>
        </w:rPr>
        <w:softHyphen/>
      </w:r>
      <w:r>
        <w:rPr>
          <w:rFonts w:hint="eastAsia" w:ascii="宋体" w:hAnsi="宋体" w:eastAsia="宋体" w:cs="宋体"/>
          <w:sz w:val="13"/>
          <w:szCs w:val="13"/>
          <w:highlight w:val="none"/>
        </w:rPr>
        <w:t>____________________</w:t>
      </w:r>
    </w:p>
    <w:p>
      <w:pPr>
        <w:keepNext w:val="0"/>
        <w:keepLines w:val="0"/>
        <w:pageBreakBefore w:val="0"/>
        <w:kinsoku/>
        <w:wordWrap/>
        <w:overflowPunct/>
        <w:topLinePunct w:val="0"/>
        <w:autoSpaceDE/>
        <w:autoSpaceDN/>
        <w:bidi w:val="0"/>
        <w:adjustRightInd/>
        <w:snapToGrid/>
        <w:spacing w:line="140" w:lineRule="exact"/>
        <w:ind w:left="-717" w:leftChars="-224"/>
        <w:jc w:val="left"/>
        <w:textAlignment w:val="auto"/>
        <w:outlineLvl w:val="0"/>
        <w:rPr>
          <w:rFonts w:hint="eastAsia" w:ascii="宋体" w:hAnsi="宋体" w:eastAsia="宋体" w:cs="宋体"/>
          <w:sz w:val="13"/>
          <w:szCs w:val="13"/>
          <w:highlight w:val="none"/>
        </w:rPr>
      </w:pPr>
    </w:p>
    <w:p>
      <w:pPr>
        <w:keepNext w:val="0"/>
        <w:keepLines w:val="0"/>
        <w:pageBreakBefore w:val="0"/>
        <w:widowControl/>
        <w:kinsoku/>
        <w:wordWrap/>
        <w:overflowPunct/>
        <w:topLinePunct w:val="0"/>
        <w:autoSpaceDE/>
        <w:autoSpaceDN/>
        <w:bidi w:val="0"/>
        <w:adjustRightInd/>
        <w:snapToGrid/>
        <w:spacing w:line="140" w:lineRule="exact"/>
        <w:ind w:firstLine="261" w:firstLineChars="200"/>
        <w:jc w:val="left"/>
        <w:textAlignment w:val="auto"/>
        <w:rPr>
          <w:rFonts w:hint="eastAsia" w:ascii="宋体" w:hAnsi="宋体" w:eastAsia="宋体" w:cs="宋体"/>
          <w:b/>
          <w:color w:val="000000"/>
          <w:kern w:val="0"/>
          <w:sz w:val="13"/>
          <w:szCs w:val="13"/>
          <w:highlight w:val="none"/>
        </w:rPr>
      </w:pPr>
      <w:r>
        <w:rPr>
          <w:rFonts w:hint="eastAsia" w:ascii="宋体" w:hAnsi="宋体" w:eastAsia="宋体" w:cs="宋体"/>
          <w:b/>
          <w:color w:val="000000"/>
          <w:kern w:val="0"/>
          <w:sz w:val="13"/>
          <w:szCs w:val="13"/>
          <w:highlight w:val="none"/>
        </w:rPr>
        <w:t>甲方（全称）：</w:t>
      </w:r>
      <w:r>
        <w:rPr>
          <w:rFonts w:hint="eastAsia" w:ascii="宋体" w:hAnsi="宋体" w:eastAsia="宋体" w:cs="宋体"/>
          <w:bCs/>
          <w:color w:val="000000"/>
          <w:kern w:val="0"/>
          <w:sz w:val="13"/>
          <w:szCs w:val="13"/>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140" w:lineRule="exact"/>
        <w:ind w:firstLine="261" w:firstLineChars="200"/>
        <w:jc w:val="left"/>
        <w:textAlignment w:val="auto"/>
        <w:rPr>
          <w:rFonts w:hint="eastAsia" w:ascii="宋体" w:hAnsi="宋体" w:eastAsia="宋体" w:cs="宋体"/>
          <w:b/>
          <w:color w:val="000000"/>
          <w:kern w:val="0"/>
          <w:sz w:val="13"/>
          <w:szCs w:val="13"/>
          <w:highlight w:val="none"/>
        </w:rPr>
      </w:pPr>
      <w:r>
        <w:rPr>
          <w:rFonts w:hint="eastAsia" w:ascii="宋体" w:hAnsi="宋体" w:eastAsia="宋体" w:cs="宋体"/>
          <w:b/>
          <w:color w:val="000000"/>
          <w:kern w:val="0"/>
          <w:sz w:val="13"/>
          <w:szCs w:val="13"/>
          <w:highlight w:val="none"/>
        </w:rPr>
        <w:t>乙方：兴业银行股份有限公司</w:t>
      </w:r>
      <w:r>
        <w:rPr>
          <w:rFonts w:hint="eastAsia" w:ascii="宋体" w:hAnsi="宋体" w:eastAsia="宋体" w:cs="宋体"/>
          <w:bCs/>
          <w:color w:val="000000"/>
          <w:kern w:val="0"/>
          <w:sz w:val="13"/>
          <w:szCs w:val="13"/>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140" w:lineRule="exact"/>
        <w:jc w:val="center"/>
        <w:textAlignment w:val="auto"/>
        <w:outlineLvl w:val="0"/>
        <w:rPr>
          <w:rFonts w:hint="eastAsia" w:ascii="宋体" w:hAnsi="宋体" w:eastAsia="宋体" w:cs="宋体"/>
          <w:sz w:val="13"/>
          <w:szCs w:val="13"/>
          <w:highlight w:val="none"/>
        </w:rPr>
      </w:pPr>
    </w:p>
    <w:p>
      <w:pPr>
        <w:keepNext w:val="0"/>
        <w:keepLines w:val="0"/>
        <w:pageBreakBefore w:val="0"/>
        <w:widowControl/>
        <w:kinsoku/>
        <w:wordWrap/>
        <w:overflowPunct/>
        <w:topLinePunct w:val="0"/>
        <w:autoSpaceDE/>
        <w:autoSpaceDN/>
        <w:bidi w:val="0"/>
        <w:adjustRightInd/>
        <w:snapToGrid/>
        <w:spacing w:line="140" w:lineRule="exact"/>
        <w:jc w:val="center"/>
        <w:textAlignment w:val="auto"/>
        <w:outlineLvl w:val="0"/>
        <w:rPr>
          <w:rFonts w:hint="eastAsia" w:ascii="宋体" w:hAnsi="宋体" w:eastAsia="宋体" w:cs="宋体"/>
          <w:b/>
          <w:color w:val="000000"/>
          <w:kern w:val="0"/>
          <w:sz w:val="13"/>
          <w:szCs w:val="13"/>
          <w:highlight w:val="none"/>
        </w:rPr>
      </w:pPr>
      <w:r>
        <w:rPr>
          <w:rFonts w:hint="eastAsia" w:ascii="宋体" w:hAnsi="宋体" w:eastAsia="宋体" w:cs="宋体"/>
          <w:b/>
          <w:color w:val="000000"/>
          <w:kern w:val="0"/>
          <w:sz w:val="13"/>
          <w:szCs w:val="13"/>
          <w:highlight w:val="none"/>
        </w:rPr>
        <w:t>签约重要提示</w:t>
      </w:r>
    </w:p>
    <w:p>
      <w:pPr>
        <w:keepNext w:val="0"/>
        <w:keepLines w:val="0"/>
        <w:pageBreakBefore w:val="0"/>
        <w:widowControl/>
        <w:kinsoku/>
        <w:wordWrap/>
        <w:overflowPunct/>
        <w:topLinePunct w:val="0"/>
        <w:autoSpaceDE/>
        <w:autoSpaceDN/>
        <w:bidi w:val="0"/>
        <w:adjustRightInd/>
        <w:snapToGrid/>
        <w:spacing w:line="140" w:lineRule="exact"/>
        <w:ind w:firstLine="361"/>
        <w:jc w:val="center"/>
        <w:textAlignment w:val="auto"/>
        <w:outlineLvl w:val="0"/>
        <w:rPr>
          <w:rFonts w:hint="eastAsia" w:ascii="宋体" w:hAnsi="宋体" w:eastAsia="宋体" w:cs="宋体"/>
          <w:b/>
          <w:color w:val="000000"/>
          <w:kern w:val="0"/>
          <w:sz w:val="13"/>
          <w:szCs w:val="13"/>
          <w:highlight w:val="none"/>
        </w:rPr>
      </w:pPr>
    </w:p>
    <w:p>
      <w:pPr>
        <w:keepNext w:val="0"/>
        <w:keepLines w:val="0"/>
        <w:pageBreakBefore w:val="0"/>
        <w:widowControl/>
        <w:kinsoku/>
        <w:wordWrap/>
        <w:overflowPunct/>
        <w:topLinePunct w:val="0"/>
        <w:autoSpaceDE/>
        <w:autoSpaceDN/>
        <w:bidi w:val="0"/>
        <w:adjustRightInd/>
        <w:snapToGrid/>
        <w:spacing w:line="140" w:lineRule="exact"/>
        <w:ind w:firstLine="261" w:firstLineChars="200"/>
        <w:jc w:val="both"/>
        <w:textAlignment w:val="auto"/>
        <w:rPr>
          <w:rFonts w:hint="eastAsia" w:ascii="宋体" w:hAnsi="宋体" w:eastAsia="宋体" w:cs="宋体"/>
          <w:b/>
          <w:color w:val="000000"/>
          <w:kern w:val="0"/>
          <w:sz w:val="13"/>
          <w:szCs w:val="13"/>
          <w:highlight w:val="none"/>
        </w:rPr>
      </w:pPr>
      <w:r>
        <w:rPr>
          <w:rFonts w:hint="eastAsia" w:ascii="宋体" w:hAnsi="宋体" w:eastAsia="宋体" w:cs="宋体"/>
          <w:b/>
          <w:color w:val="000000"/>
          <w:kern w:val="0"/>
          <w:sz w:val="13"/>
          <w:szCs w:val="13"/>
          <w:highlight w:val="none"/>
        </w:rPr>
        <w:t>为了维护贵单位及您的权益，请在签署本协议之前仔细阅读、检查并确认以下事宜：</w:t>
      </w:r>
    </w:p>
    <w:p>
      <w:pPr>
        <w:keepNext w:val="0"/>
        <w:keepLines w:val="0"/>
        <w:pageBreakBefore w:val="0"/>
        <w:widowControl/>
        <w:kinsoku/>
        <w:wordWrap/>
        <w:overflowPunct/>
        <w:topLinePunct w:val="0"/>
        <w:autoSpaceDE/>
        <w:autoSpaceDN/>
        <w:bidi w:val="0"/>
        <w:adjustRightInd/>
        <w:snapToGrid/>
        <w:spacing w:line="140" w:lineRule="exact"/>
        <w:ind w:firstLine="261" w:firstLineChars="200"/>
        <w:jc w:val="both"/>
        <w:textAlignment w:val="auto"/>
        <w:rPr>
          <w:rFonts w:hint="eastAsia" w:ascii="宋体" w:hAnsi="宋体" w:eastAsia="宋体" w:cs="宋体"/>
          <w:b/>
          <w:color w:val="000000"/>
          <w:kern w:val="0"/>
          <w:sz w:val="13"/>
          <w:szCs w:val="13"/>
          <w:highlight w:val="none"/>
        </w:rPr>
      </w:pPr>
      <w:r>
        <w:rPr>
          <w:rFonts w:hint="eastAsia" w:ascii="宋体" w:hAnsi="宋体" w:eastAsia="宋体" w:cs="宋体"/>
          <w:b/>
          <w:color w:val="000000"/>
          <w:kern w:val="0"/>
          <w:sz w:val="13"/>
          <w:szCs w:val="13"/>
          <w:highlight w:val="none"/>
        </w:rPr>
        <w:t>一、贵单位及您具备完全民事权利能力和与所从事的民事行为相适应的民事行为能力，有权签署本协议；若依法需要取得他人同意的，贵单位及您已经取得充分授权。</w:t>
      </w:r>
    </w:p>
    <w:p>
      <w:pPr>
        <w:keepNext w:val="0"/>
        <w:keepLines w:val="0"/>
        <w:pageBreakBefore w:val="0"/>
        <w:widowControl/>
        <w:kinsoku/>
        <w:wordWrap/>
        <w:overflowPunct/>
        <w:topLinePunct w:val="0"/>
        <w:autoSpaceDE/>
        <w:autoSpaceDN/>
        <w:bidi w:val="0"/>
        <w:adjustRightInd/>
        <w:snapToGrid/>
        <w:spacing w:line="140" w:lineRule="exact"/>
        <w:ind w:firstLine="261" w:firstLineChars="200"/>
        <w:jc w:val="both"/>
        <w:textAlignment w:val="auto"/>
        <w:rPr>
          <w:rFonts w:hint="eastAsia" w:ascii="宋体" w:hAnsi="宋体" w:eastAsia="宋体" w:cs="宋体"/>
          <w:b/>
          <w:color w:val="000000"/>
          <w:kern w:val="0"/>
          <w:sz w:val="13"/>
          <w:szCs w:val="13"/>
          <w:highlight w:val="none"/>
        </w:rPr>
      </w:pPr>
      <w:r>
        <w:rPr>
          <w:rFonts w:hint="eastAsia" w:ascii="宋体" w:hAnsi="宋体" w:eastAsia="宋体" w:cs="宋体"/>
          <w:b/>
          <w:color w:val="000000"/>
          <w:kern w:val="0"/>
          <w:sz w:val="13"/>
          <w:szCs w:val="13"/>
          <w:highlight w:val="none"/>
        </w:rPr>
        <w:t>二、贵单位及您已经认真阅读并充分理解本协议</w:t>
      </w:r>
      <w:r>
        <w:rPr>
          <w:rFonts w:hint="eastAsia" w:ascii="宋体" w:hAnsi="宋体" w:eastAsia="宋体" w:cs="宋体"/>
          <w:b/>
          <w:color w:val="000000"/>
          <w:kern w:val="0"/>
          <w:sz w:val="13"/>
          <w:szCs w:val="13"/>
          <w:highlight w:val="none"/>
          <w:lang w:eastAsia="zh-CN"/>
        </w:rPr>
        <w:t>，</w:t>
      </w:r>
      <w:r>
        <w:rPr>
          <w:rFonts w:hint="eastAsia" w:ascii="宋体" w:hAnsi="宋体" w:eastAsia="宋体" w:cs="宋体"/>
          <w:b/>
          <w:color w:val="000000"/>
          <w:kern w:val="0"/>
          <w:sz w:val="13"/>
          <w:szCs w:val="13"/>
          <w:highlight w:val="none"/>
          <w:lang w:val="en-US" w:eastAsia="zh-CN"/>
        </w:rPr>
        <w:t>以及兴业银行官方网站（http://www.cib.com.cn/）上公示的</w:t>
      </w:r>
      <w:r>
        <w:rPr>
          <w:rFonts w:hint="eastAsia" w:ascii="宋体" w:hAnsi="宋体" w:eastAsia="宋体" w:cs="宋体"/>
          <w:b/>
          <w:color w:val="000000"/>
          <w:kern w:val="0"/>
          <w:sz w:val="13"/>
          <w:szCs w:val="13"/>
          <w:highlight w:val="none"/>
        </w:rPr>
        <w:t>《兴业银行网上银行章程》、客户使用手册条款的含义及相应的法律后果，并特别注意了</w:t>
      </w:r>
      <w:r>
        <w:rPr>
          <w:rFonts w:hint="eastAsia" w:ascii="宋体" w:hAnsi="宋体" w:eastAsia="宋体" w:cs="宋体"/>
          <w:b/>
          <w:color w:val="000000"/>
          <w:kern w:val="0"/>
          <w:sz w:val="13"/>
          <w:szCs w:val="13"/>
          <w:highlight w:val="none"/>
          <w:lang w:val="en-US" w:eastAsia="zh-CN"/>
        </w:rPr>
        <w:t>本协议</w:t>
      </w:r>
      <w:r>
        <w:rPr>
          <w:rFonts w:hint="eastAsia" w:ascii="宋体" w:hAnsi="宋体" w:eastAsia="宋体" w:cs="宋体"/>
          <w:b/>
          <w:color w:val="000000"/>
          <w:kern w:val="0"/>
          <w:sz w:val="13"/>
          <w:szCs w:val="13"/>
          <w:highlight w:val="none"/>
        </w:rPr>
        <w:t>有关责任承担、免除或限制兴业银行责任、以及加黑字体部分的内容，并愿意接受这些条款约定。同时请贵单位及您理解，兴业银行可能因优化客户体验、维护系统和网络安全、履行自身责任义务等原因需不时的对本协议、《兴业银行网上银行章程》、客户使用手册等内容进行更新修订，如果贵单位及您不同意前述文件及其后续修订版本约定，贵单位及您有权放弃或申请终止</w:t>
      </w:r>
      <w:bookmarkStart w:id="0" w:name="_Hlk118966267"/>
      <w:r>
        <w:rPr>
          <w:rFonts w:hint="eastAsia" w:ascii="宋体" w:hAnsi="宋体" w:eastAsia="宋体" w:cs="宋体"/>
          <w:b/>
          <w:color w:val="000000"/>
          <w:kern w:val="0"/>
          <w:sz w:val="13"/>
          <w:szCs w:val="13"/>
          <w:highlight w:val="none"/>
        </w:rPr>
        <w:t>企业/同业金融电子渠道服务</w:t>
      </w:r>
      <w:bookmarkEnd w:id="0"/>
      <w:r>
        <w:rPr>
          <w:rFonts w:hint="eastAsia" w:ascii="宋体" w:hAnsi="宋体" w:eastAsia="宋体" w:cs="宋体"/>
          <w:b/>
          <w:color w:val="000000"/>
          <w:kern w:val="0"/>
          <w:sz w:val="13"/>
          <w:szCs w:val="13"/>
          <w:highlight w:val="none"/>
        </w:rPr>
        <w:t>；如果贵单位及您继续开通或使用相关服务，则视为贵单位及您完全理解并接受相关约定。</w:t>
      </w:r>
    </w:p>
    <w:p>
      <w:pPr>
        <w:keepNext w:val="0"/>
        <w:keepLines w:val="0"/>
        <w:pageBreakBefore w:val="0"/>
        <w:widowControl/>
        <w:kinsoku/>
        <w:wordWrap/>
        <w:overflowPunct/>
        <w:topLinePunct w:val="0"/>
        <w:autoSpaceDE/>
        <w:autoSpaceDN/>
        <w:bidi w:val="0"/>
        <w:adjustRightInd/>
        <w:snapToGrid/>
        <w:spacing w:line="140" w:lineRule="exact"/>
        <w:ind w:firstLine="261" w:firstLineChars="200"/>
        <w:jc w:val="both"/>
        <w:textAlignment w:val="auto"/>
        <w:rPr>
          <w:rFonts w:hint="eastAsia" w:ascii="宋体" w:hAnsi="宋体" w:eastAsia="宋体" w:cs="宋体"/>
          <w:b/>
          <w:color w:val="000000"/>
          <w:kern w:val="0"/>
          <w:sz w:val="13"/>
          <w:szCs w:val="13"/>
          <w:highlight w:val="none"/>
        </w:rPr>
      </w:pPr>
      <w:r>
        <w:rPr>
          <w:rFonts w:hint="eastAsia" w:ascii="宋体" w:hAnsi="宋体" w:eastAsia="宋体" w:cs="宋体"/>
          <w:b/>
          <w:color w:val="000000"/>
          <w:kern w:val="0"/>
          <w:sz w:val="13"/>
          <w:szCs w:val="13"/>
          <w:highlight w:val="none"/>
        </w:rPr>
        <w:t>三、贵单位及您已经明确知悉电子签名的法律效力，所有使用用户名、登录密码、交易密码或其他安全工具进行的操作均视为贵单位所为，贵单位已设定严格的内部控制程序及措施，并对所有内部用户的操作行为及结果负责；清楚出租/租入、出借/借入、出售/购买手机号、用户名、登录密码、交易密码或其他安全工具的法律责任和惩戒措施，承担违法、违规使用的一切后果。</w:t>
      </w:r>
    </w:p>
    <w:p>
      <w:pPr>
        <w:keepNext w:val="0"/>
        <w:keepLines w:val="0"/>
        <w:pageBreakBefore w:val="0"/>
        <w:widowControl/>
        <w:kinsoku/>
        <w:wordWrap/>
        <w:overflowPunct/>
        <w:topLinePunct w:val="0"/>
        <w:autoSpaceDE/>
        <w:autoSpaceDN/>
        <w:bidi w:val="0"/>
        <w:adjustRightInd/>
        <w:snapToGrid/>
        <w:spacing w:line="140" w:lineRule="exact"/>
        <w:ind w:firstLine="261" w:firstLineChars="200"/>
        <w:jc w:val="both"/>
        <w:textAlignment w:val="auto"/>
        <w:rPr>
          <w:rFonts w:hint="eastAsia" w:ascii="宋体" w:hAnsi="宋体" w:eastAsia="宋体" w:cs="宋体"/>
          <w:b/>
          <w:color w:val="000000"/>
          <w:kern w:val="0"/>
          <w:sz w:val="13"/>
          <w:szCs w:val="13"/>
          <w:highlight w:val="none"/>
        </w:rPr>
      </w:pPr>
      <w:r>
        <w:rPr>
          <w:rFonts w:hint="eastAsia" w:ascii="宋体" w:hAnsi="宋体" w:eastAsia="宋体" w:cs="宋体"/>
          <w:b/>
          <w:color w:val="000000"/>
          <w:kern w:val="0"/>
          <w:sz w:val="13"/>
          <w:szCs w:val="13"/>
          <w:highlight w:val="none"/>
        </w:rPr>
        <w:t>四、贵单位及您已经充分理解企业/同业金融电子渠道服务是基于互联网或移动互联网为基础的服务，因法律法规及监管政策变化、自然灾害、战争等不能预见、不能避免、不能克服的不可抗力事件或因网络通讯、业务终端、第三方操作系统及应用程序等原因可能导致服务中断，同时也</w:t>
      </w:r>
      <w:r>
        <w:rPr>
          <w:rFonts w:hint="eastAsia" w:ascii="宋体" w:hAnsi="宋体" w:eastAsia="宋体" w:cs="宋体"/>
          <w:b/>
          <w:color w:val="000000"/>
          <w:kern w:val="0"/>
          <w:sz w:val="13"/>
          <w:szCs w:val="13"/>
          <w:highlight w:val="none"/>
          <w:lang w:val="en-US" w:eastAsia="zh-CN"/>
        </w:rPr>
        <w:t>存在</w:t>
      </w:r>
      <w:r>
        <w:rPr>
          <w:rFonts w:hint="eastAsia" w:ascii="宋体" w:hAnsi="宋体" w:eastAsia="宋体" w:cs="宋体"/>
          <w:b/>
          <w:color w:val="000000"/>
          <w:kern w:val="0"/>
          <w:sz w:val="13"/>
          <w:szCs w:val="13"/>
          <w:highlight w:val="none"/>
        </w:rPr>
        <w:t>终端病毒、网络侵权等科技风险；承诺在安全环境下，根据本协议、《兴业银行网上银行章程》、客户使用手册等（含后续修订版本）规定，正确使用企业/同业金融电子渠道服务；同意兴业银行根据法律、法规、监管及安全保障、优化服务等需要动态对系统或服务进行调整，对协议、章程、手册等内容进行持续修订，</w:t>
      </w:r>
      <w:r>
        <w:rPr>
          <w:rFonts w:hint="eastAsia" w:ascii="宋体" w:hAnsi="宋体" w:eastAsia="宋体" w:cs="宋体"/>
          <w:b/>
          <w:color w:val="000000"/>
          <w:kern w:val="0"/>
          <w:sz w:val="13"/>
          <w:szCs w:val="13"/>
          <w:highlight w:val="none"/>
          <w:lang w:val="en-US" w:eastAsia="zh-CN"/>
        </w:rPr>
        <w:t>其中章程、手册</w:t>
      </w:r>
      <w:r>
        <w:rPr>
          <w:rFonts w:hint="eastAsia" w:ascii="宋体" w:hAnsi="宋体" w:eastAsia="宋体" w:cs="宋体"/>
          <w:b/>
          <w:color w:val="000000"/>
          <w:kern w:val="0"/>
          <w:sz w:val="13"/>
          <w:szCs w:val="13"/>
          <w:highlight w:val="none"/>
        </w:rPr>
        <w:t>在按照法定或监管规定</w:t>
      </w:r>
      <w:r>
        <w:rPr>
          <w:rFonts w:hint="eastAsia" w:ascii="宋体" w:hAnsi="宋体" w:eastAsia="宋体" w:cs="宋体"/>
          <w:b/>
          <w:color w:val="000000"/>
          <w:kern w:val="0"/>
          <w:sz w:val="13"/>
          <w:szCs w:val="13"/>
          <w:highlight w:val="none"/>
          <w:lang w:val="en-US" w:eastAsia="zh-CN"/>
        </w:rPr>
        <w:t>下</w:t>
      </w:r>
      <w:r>
        <w:rPr>
          <w:rFonts w:hint="eastAsia" w:ascii="宋体" w:hAnsi="宋体" w:eastAsia="宋体" w:cs="宋体"/>
          <w:b/>
          <w:color w:val="000000"/>
          <w:kern w:val="0"/>
          <w:sz w:val="13"/>
          <w:szCs w:val="13"/>
          <w:highlight w:val="none"/>
        </w:rPr>
        <w:t>有关信息披露或告知的及时性要求，进行对外公告/发布（在网站、APP或营业网点）或其他合理方式通知后生效。</w:t>
      </w:r>
    </w:p>
    <w:p>
      <w:pPr>
        <w:keepNext w:val="0"/>
        <w:keepLines w:val="0"/>
        <w:pageBreakBefore w:val="0"/>
        <w:widowControl/>
        <w:kinsoku/>
        <w:wordWrap/>
        <w:overflowPunct/>
        <w:topLinePunct w:val="0"/>
        <w:autoSpaceDE/>
        <w:autoSpaceDN/>
        <w:bidi w:val="0"/>
        <w:adjustRightInd/>
        <w:snapToGrid/>
        <w:spacing w:line="140" w:lineRule="exact"/>
        <w:ind w:firstLine="261" w:firstLineChars="200"/>
        <w:jc w:val="both"/>
        <w:textAlignment w:val="auto"/>
        <w:rPr>
          <w:rFonts w:hint="eastAsia" w:ascii="宋体" w:hAnsi="宋体" w:eastAsia="宋体" w:cs="宋体"/>
          <w:b/>
          <w:color w:val="000000"/>
          <w:kern w:val="0"/>
          <w:sz w:val="13"/>
          <w:szCs w:val="13"/>
          <w:highlight w:val="none"/>
        </w:rPr>
      </w:pPr>
      <w:r>
        <w:rPr>
          <w:rFonts w:hint="eastAsia" w:ascii="宋体" w:hAnsi="宋体" w:eastAsia="宋体" w:cs="宋体"/>
          <w:b/>
          <w:color w:val="000000"/>
          <w:kern w:val="0"/>
          <w:sz w:val="13"/>
          <w:szCs w:val="13"/>
          <w:highlight w:val="none"/>
        </w:rPr>
        <w:t>五、贵单位及您已经全面认同兴业银行从源头上加强身份识别、签约意愿或交易真实性核实对防范洗钱、欺诈等风险的重要性，同意兴业银行基于资金安全、反洗钱管理等需要，在业务开通及存续环节，向贵单位及相关人员开展尽职调查、收集证明文件、实施交易监测、调整交易限额等工作并留存相关材料，且必要时可暂时停止或者限制部分、全部服务功能。</w:t>
      </w:r>
    </w:p>
    <w:p>
      <w:pPr>
        <w:keepNext w:val="0"/>
        <w:keepLines w:val="0"/>
        <w:pageBreakBefore w:val="0"/>
        <w:widowControl/>
        <w:kinsoku/>
        <w:wordWrap/>
        <w:overflowPunct/>
        <w:topLinePunct w:val="0"/>
        <w:autoSpaceDE/>
        <w:autoSpaceDN/>
        <w:bidi w:val="0"/>
        <w:adjustRightInd/>
        <w:snapToGrid/>
        <w:spacing w:line="140" w:lineRule="exact"/>
        <w:ind w:firstLine="261" w:firstLineChars="200"/>
        <w:jc w:val="both"/>
        <w:textAlignment w:val="auto"/>
        <w:rPr>
          <w:rFonts w:hint="eastAsia" w:ascii="宋体" w:hAnsi="宋体" w:eastAsia="宋体" w:cs="宋体"/>
          <w:b/>
          <w:color w:val="000000"/>
          <w:kern w:val="0"/>
          <w:sz w:val="13"/>
          <w:szCs w:val="13"/>
          <w:highlight w:val="none"/>
        </w:rPr>
      </w:pPr>
      <w:r>
        <w:rPr>
          <w:rFonts w:hint="eastAsia" w:ascii="宋体" w:hAnsi="宋体" w:eastAsia="宋体" w:cs="宋体"/>
          <w:b/>
          <w:color w:val="000000"/>
          <w:kern w:val="0"/>
          <w:sz w:val="13"/>
          <w:szCs w:val="13"/>
          <w:highlight w:val="none"/>
        </w:rPr>
        <w:t>六、如果贵单位及您对本协议还有疑问，请及时向兴业银行各营业网点咨询。</w:t>
      </w:r>
    </w:p>
    <w:p>
      <w:pPr>
        <w:keepNext w:val="0"/>
        <w:keepLines w:val="0"/>
        <w:pageBreakBefore w:val="0"/>
        <w:widowControl/>
        <w:kinsoku/>
        <w:wordWrap/>
        <w:overflowPunct/>
        <w:topLinePunct w:val="0"/>
        <w:autoSpaceDE/>
        <w:autoSpaceDN/>
        <w:bidi w:val="0"/>
        <w:adjustRightInd/>
        <w:snapToGrid/>
        <w:spacing w:line="140" w:lineRule="exact"/>
        <w:ind w:firstLine="261" w:firstLineChars="200"/>
        <w:jc w:val="both"/>
        <w:textAlignment w:val="auto"/>
        <w:rPr>
          <w:rFonts w:hint="eastAsia" w:ascii="宋体" w:hAnsi="宋体" w:eastAsia="宋体" w:cs="宋体"/>
          <w:b/>
          <w:color w:val="000000"/>
          <w:kern w:val="0"/>
          <w:sz w:val="13"/>
          <w:szCs w:val="13"/>
          <w:highlight w:val="none"/>
        </w:rPr>
      </w:pPr>
      <w:r>
        <w:rPr>
          <w:rFonts w:hint="eastAsia" w:ascii="宋体" w:hAnsi="宋体" w:eastAsia="宋体" w:cs="宋体"/>
          <w:b/>
          <w:color w:val="000000"/>
          <w:kern w:val="0"/>
          <w:sz w:val="13"/>
          <w:szCs w:val="13"/>
          <w:highlight w:val="none"/>
        </w:rPr>
        <w:t>七、贵单位及您已明确知悉，为使用企业/同业金融电子渠道服务，贵单位应按要求在兴业银行开立结算账户、签署单位银行结算账户服务总协议并预留联系信息。贵单位及您同意，兴业银行有权按照贵单位及您在</w:t>
      </w:r>
      <w:bookmarkStart w:id="1" w:name="_Hlk118980855"/>
      <w:r>
        <w:rPr>
          <w:rFonts w:hint="eastAsia" w:ascii="宋体" w:hAnsi="宋体" w:eastAsia="宋体" w:cs="宋体"/>
          <w:b/>
          <w:color w:val="000000"/>
          <w:kern w:val="0"/>
          <w:sz w:val="13"/>
          <w:szCs w:val="13"/>
          <w:highlight w:val="none"/>
        </w:rPr>
        <w:t>兴业银行任一分支机构</w:t>
      </w:r>
      <w:bookmarkEnd w:id="1"/>
      <w:r>
        <w:rPr>
          <w:rFonts w:hint="eastAsia" w:ascii="宋体" w:hAnsi="宋体" w:eastAsia="宋体" w:cs="宋体"/>
          <w:b/>
          <w:color w:val="000000"/>
          <w:kern w:val="0"/>
          <w:sz w:val="13"/>
          <w:szCs w:val="13"/>
          <w:highlight w:val="none"/>
        </w:rPr>
        <w:t>或兴业银行系统内留存的信息向贵单位及您发送通知或进行联系。如联系信息发生变化，贵单位及您需及时赴原开户机构办理变更手续。</w:t>
      </w:r>
    </w:p>
    <w:p>
      <w:pPr>
        <w:keepNext w:val="0"/>
        <w:keepLines w:val="0"/>
        <w:pageBreakBefore w:val="0"/>
        <w:widowControl/>
        <w:kinsoku/>
        <w:wordWrap/>
        <w:overflowPunct/>
        <w:topLinePunct w:val="0"/>
        <w:autoSpaceDE/>
        <w:autoSpaceDN/>
        <w:bidi w:val="0"/>
        <w:adjustRightInd/>
        <w:snapToGrid/>
        <w:spacing w:line="140" w:lineRule="exact"/>
        <w:ind w:firstLine="261" w:firstLineChars="200"/>
        <w:jc w:val="both"/>
        <w:textAlignment w:val="auto"/>
        <w:rPr>
          <w:rFonts w:hint="eastAsia" w:ascii="宋体" w:hAnsi="宋体" w:eastAsia="宋体" w:cs="宋体"/>
          <w:b/>
          <w:color w:val="000000"/>
          <w:kern w:val="0"/>
          <w:sz w:val="13"/>
          <w:szCs w:val="13"/>
          <w:highlight w:val="none"/>
        </w:rPr>
      </w:pPr>
      <w:r>
        <w:rPr>
          <w:rFonts w:hint="eastAsia" w:ascii="宋体" w:hAnsi="宋体" w:eastAsia="宋体" w:cs="宋体"/>
          <w:b/>
          <w:color w:val="000000"/>
          <w:kern w:val="0"/>
          <w:sz w:val="13"/>
          <w:szCs w:val="13"/>
          <w:highlight w:val="none"/>
          <w:lang w:val="en-US" w:eastAsia="zh-CN"/>
        </w:rPr>
        <w:t>八、</w:t>
      </w:r>
      <w:r>
        <w:rPr>
          <w:rFonts w:hint="eastAsia" w:ascii="宋体" w:hAnsi="宋体" w:eastAsia="宋体" w:cs="宋体"/>
          <w:b/>
          <w:color w:val="000000"/>
          <w:kern w:val="0"/>
          <w:sz w:val="13"/>
          <w:szCs w:val="13"/>
          <w:highlight w:val="none"/>
        </w:rPr>
        <w:t>贵单位及您签署本</w:t>
      </w:r>
      <w:r>
        <w:rPr>
          <w:rFonts w:hint="eastAsia" w:ascii="宋体" w:hAnsi="宋体" w:eastAsia="宋体" w:cs="宋体"/>
          <w:b/>
          <w:color w:val="000000"/>
          <w:kern w:val="0"/>
          <w:sz w:val="13"/>
          <w:szCs w:val="13"/>
          <w:highlight w:val="none"/>
          <w:lang w:val="en-US" w:eastAsia="zh-CN"/>
        </w:rPr>
        <w:t>协议</w:t>
      </w:r>
      <w:r>
        <w:rPr>
          <w:rFonts w:hint="eastAsia" w:ascii="宋体" w:hAnsi="宋体" w:eastAsia="宋体" w:cs="宋体"/>
          <w:b/>
          <w:color w:val="000000"/>
          <w:kern w:val="0"/>
          <w:sz w:val="13"/>
          <w:szCs w:val="13"/>
          <w:highlight w:val="none"/>
        </w:rPr>
        <w:t>即表示同意并授权兴业银行处理贵单位及您的个人信息并同意兴业银行在符合法律法规及监管规定基础上，按最短期限对个人信息予以保存。如果业务涉及他人信息的处理，且前述他人信息由贵单位及您向兴业银行提供的，</w:t>
      </w:r>
      <w:r>
        <w:rPr>
          <w:rFonts w:hint="eastAsia" w:ascii="宋体" w:hAnsi="宋体" w:eastAsia="宋体" w:cs="宋体"/>
          <w:b/>
          <w:color w:val="000000"/>
          <w:kern w:val="0"/>
          <w:sz w:val="13"/>
          <w:szCs w:val="13"/>
          <w:highlight w:val="none"/>
          <w:lang w:val="en-US" w:eastAsia="zh-CN"/>
        </w:rPr>
        <w:t>签署本协议则意味着</w:t>
      </w:r>
      <w:r>
        <w:rPr>
          <w:rFonts w:hint="eastAsia" w:ascii="宋体" w:hAnsi="宋体" w:eastAsia="宋体" w:cs="宋体"/>
          <w:b/>
          <w:color w:val="000000"/>
          <w:kern w:val="0"/>
          <w:sz w:val="13"/>
          <w:szCs w:val="13"/>
          <w:highlight w:val="none"/>
        </w:rPr>
        <w:t>贵单位及您承诺已真实、准确、完整地向他人告知兴业银行处理其个人信息的目的、方式、种类、保存期限等并获得他人同意，否则由此产生的法律责任均由贵单位及您承担。贵单位及您</w:t>
      </w:r>
      <w:r>
        <w:rPr>
          <w:rFonts w:hint="eastAsia" w:ascii="宋体" w:hAnsi="宋体" w:eastAsia="宋体" w:cs="宋体"/>
          <w:b/>
          <w:color w:val="000000"/>
          <w:kern w:val="0"/>
          <w:sz w:val="13"/>
          <w:szCs w:val="13"/>
          <w:highlight w:val="none"/>
          <w:lang w:val="en-US" w:eastAsia="zh-CN"/>
        </w:rPr>
        <w:t>确保</w:t>
      </w:r>
      <w:r>
        <w:rPr>
          <w:rFonts w:hint="eastAsia" w:ascii="宋体" w:hAnsi="宋体" w:eastAsia="宋体" w:cs="宋体"/>
          <w:b/>
          <w:color w:val="000000"/>
          <w:kern w:val="0"/>
          <w:sz w:val="13"/>
          <w:szCs w:val="13"/>
          <w:highlight w:val="none"/>
        </w:rPr>
        <w:t>，</w:t>
      </w:r>
      <w:r>
        <w:rPr>
          <w:rFonts w:hint="eastAsia" w:ascii="宋体" w:hAnsi="宋体" w:eastAsia="宋体" w:cs="宋体"/>
          <w:b/>
          <w:color w:val="000000"/>
          <w:kern w:val="0"/>
          <w:sz w:val="13"/>
          <w:szCs w:val="13"/>
          <w:highlight w:val="none"/>
          <w:lang w:val="en-US" w:eastAsia="zh-CN"/>
        </w:rPr>
        <w:t>上述自然人</w:t>
      </w:r>
      <w:r>
        <w:rPr>
          <w:rFonts w:hint="eastAsia" w:ascii="宋体" w:hAnsi="宋体" w:eastAsia="宋体" w:cs="宋体"/>
          <w:b/>
          <w:color w:val="000000"/>
          <w:kern w:val="0"/>
          <w:sz w:val="13"/>
          <w:szCs w:val="13"/>
          <w:highlight w:val="none"/>
        </w:rPr>
        <w:t>已知悉</w:t>
      </w:r>
      <w:r>
        <w:rPr>
          <w:rFonts w:hint="eastAsia" w:ascii="宋体" w:hAnsi="宋体" w:eastAsia="宋体" w:cs="宋体"/>
          <w:b/>
          <w:color w:val="000000"/>
          <w:kern w:val="0"/>
          <w:sz w:val="13"/>
          <w:szCs w:val="13"/>
          <w:highlight w:val="none"/>
          <w:lang w:val="en-US" w:eastAsia="zh-CN"/>
        </w:rPr>
        <w:t>其</w:t>
      </w:r>
      <w:r>
        <w:rPr>
          <w:rFonts w:hint="eastAsia" w:ascii="宋体" w:hAnsi="宋体" w:eastAsia="宋体" w:cs="宋体"/>
          <w:b/>
          <w:color w:val="000000"/>
          <w:kern w:val="0"/>
          <w:sz w:val="13"/>
          <w:szCs w:val="13"/>
          <w:highlight w:val="none"/>
        </w:rPr>
        <w:t>对个人信息享有查阅权、复制权、更正权、删除权、知情权、决定权、撤回同意权、限制或拒绝权等权利，且</w:t>
      </w:r>
      <w:r>
        <w:rPr>
          <w:rFonts w:hint="eastAsia" w:ascii="宋体" w:hAnsi="宋体" w:eastAsia="宋体" w:cs="宋体"/>
          <w:b/>
          <w:color w:val="000000"/>
          <w:kern w:val="0"/>
          <w:sz w:val="13"/>
          <w:szCs w:val="13"/>
          <w:highlight w:val="none"/>
          <w:lang w:val="en-US" w:eastAsia="zh-CN"/>
        </w:rPr>
        <w:t>行</w:t>
      </w:r>
      <w:r>
        <w:rPr>
          <w:rFonts w:hint="eastAsia" w:ascii="宋体" w:hAnsi="宋体" w:eastAsia="宋体" w:cs="宋体"/>
          <w:b/>
          <w:color w:val="000000"/>
          <w:kern w:val="0"/>
          <w:sz w:val="13"/>
          <w:szCs w:val="13"/>
          <w:highlight w:val="none"/>
        </w:rPr>
        <w:t>使前述权利的方式为：①在兴业银行营业网点办理；②拨打兴业银行客服热线 95561。贵单位及您理解并同意，若</w:t>
      </w:r>
      <w:r>
        <w:rPr>
          <w:rFonts w:hint="eastAsia" w:ascii="宋体" w:hAnsi="宋体" w:eastAsia="宋体" w:cs="宋体"/>
          <w:b/>
          <w:color w:val="000000"/>
          <w:kern w:val="0"/>
          <w:sz w:val="13"/>
          <w:szCs w:val="13"/>
          <w:highlight w:val="none"/>
          <w:lang w:val="en-US" w:eastAsia="zh-CN"/>
        </w:rPr>
        <w:t>上述自然人</w:t>
      </w:r>
      <w:r>
        <w:rPr>
          <w:rFonts w:hint="eastAsia" w:ascii="宋体" w:hAnsi="宋体" w:eastAsia="宋体" w:cs="宋体"/>
          <w:b/>
          <w:color w:val="000000"/>
          <w:kern w:val="0"/>
          <w:sz w:val="13"/>
          <w:szCs w:val="13"/>
          <w:highlight w:val="none"/>
        </w:rPr>
        <w:t>拟撤回、限制或拒绝的个人信息为业务办理所必需，兴业银行有权单方终止/解除/拒绝办理业务。</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sz w:val="13"/>
          <w:szCs w:val="13"/>
          <w:highlight w:val="none"/>
        </w:rPr>
      </w:pPr>
      <w:r>
        <w:rPr>
          <w:rFonts w:hint="eastAsia" w:ascii="宋体" w:hAnsi="宋体" w:eastAsia="宋体" w:cs="宋体"/>
          <w:color w:val="000000"/>
          <w:kern w:val="0"/>
          <w:sz w:val="13"/>
          <w:szCs w:val="13"/>
          <w:highlight w:val="none"/>
        </w:rPr>
        <w:t>根据《电子支付指引（第一号）》（中国人民银行公告〔2005〕第23号）、《电子银行业务管理办法》（银监会令2006年第5号）等规定，为明确双方权利和义务，规范双方业务行为，本着平等互利的原则，甲乙双方经充分协商，就乙方为甲方提供企业/同业金融电子渠道服务事宜达成如下协议，双方共同遵守。</w:t>
      </w:r>
    </w:p>
    <w:p>
      <w:pPr>
        <w:keepNext w:val="0"/>
        <w:keepLines w:val="0"/>
        <w:pageBreakBefore w:val="0"/>
        <w:widowControl/>
        <w:kinsoku/>
        <w:wordWrap/>
        <w:overflowPunct/>
        <w:topLinePunct w:val="0"/>
        <w:autoSpaceDE/>
        <w:autoSpaceDN/>
        <w:bidi w:val="0"/>
        <w:adjustRightInd/>
        <w:snapToGrid/>
        <w:spacing w:line="140" w:lineRule="exact"/>
        <w:jc w:val="center"/>
        <w:textAlignment w:val="auto"/>
        <w:outlineLvl w:val="0"/>
        <w:rPr>
          <w:rFonts w:hint="eastAsia" w:ascii="宋体" w:hAnsi="宋体" w:eastAsia="宋体" w:cs="宋体"/>
          <w:b/>
          <w:color w:val="000000"/>
          <w:kern w:val="0"/>
          <w:sz w:val="13"/>
          <w:szCs w:val="13"/>
          <w:highlight w:val="none"/>
        </w:rPr>
      </w:pPr>
      <w:r>
        <w:rPr>
          <w:rFonts w:hint="eastAsia" w:ascii="宋体" w:hAnsi="宋体" w:eastAsia="宋体" w:cs="宋体"/>
          <w:b/>
          <w:color w:val="000000"/>
          <w:kern w:val="0"/>
          <w:sz w:val="13"/>
          <w:szCs w:val="13"/>
          <w:highlight w:val="none"/>
        </w:rPr>
        <w:t>第一条 定义</w:t>
      </w:r>
    </w:p>
    <w:p>
      <w:pPr>
        <w:keepNext w:val="0"/>
        <w:keepLines w:val="0"/>
        <w:pageBreakBefore w:val="0"/>
        <w:widowControl/>
        <w:kinsoku/>
        <w:wordWrap/>
        <w:overflowPunct/>
        <w:topLinePunct w:val="0"/>
        <w:autoSpaceDE/>
        <w:autoSpaceDN/>
        <w:bidi w:val="0"/>
        <w:adjustRightInd/>
        <w:snapToGrid/>
        <w:spacing w:line="140" w:lineRule="exact"/>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　　如无特别说明，下列用语在本协议中的含义为：</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一、电子银行：为兴业银行利用面向社会公众开放的通讯通道或开放性公众网路，以及乙方为特定客户建立的专用网路，向客户提供银行服务的互联网平台。</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二、企业/同业金融电子渠道：指兴业银行面向国家机关、企事业单位和其他组织提供互联网金融和非金融服务的渠道，通过互联网、移动通信网络、其他开放型公众网络或专用网络，将银行产品及服务直接送达客户终端。包括但不限于企业/同业网银、兴业管家</w:t>
      </w:r>
      <w:r>
        <w:rPr>
          <w:rFonts w:hint="eastAsia" w:ascii="宋体" w:hAnsi="宋体" w:eastAsia="宋体" w:cs="宋体"/>
          <w:color w:val="000000"/>
          <w:kern w:val="0"/>
          <w:sz w:val="13"/>
          <w:szCs w:val="13"/>
          <w:highlight w:val="none"/>
          <w:lang w:val="en-US" w:eastAsia="zh-CN"/>
        </w:rPr>
        <w:t>App</w:t>
      </w:r>
      <w:r>
        <w:rPr>
          <w:rFonts w:hint="eastAsia" w:ascii="宋体" w:hAnsi="宋体" w:eastAsia="宋体" w:cs="宋体"/>
          <w:color w:val="000000"/>
          <w:kern w:val="0"/>
          <w:sz w:val="13"/>
          <w:szCs w:val="13"/>
          <w:highlight w:val="none"/>
        </w:rPr>
        <w:t>和银企/同业直联及其他乙方认可的电子</w:t>
      </w:r>
      <w:r>
        <w:rPr>
          <w:rFonts w:hint="eastAsia" w:ascii="宋体" w:hAnsi="宋体" w:eastAsia="宋体" w:cs="宋体"/>
          <w:color w:val="000000"/>
          <w:kern w:val="0"/>
          <w:sz w:val="13"/>
          <w:szCs w:val="13"/>
          <w:highlight w:val="none"/>
          <w:lang w:val="en-US" w:eastAsia="zh-CN"/>
        </w:rPr>
        <w:t>银行</w:t>
      </w:r>
      <w:r>
        <w:rPr>
          <w:rFonts w:hint="eastAsia" w:ascii="宋体" w:hAnsi="宋体" w:eastAsia="宋体" w:cs="宋体"/>
          <w:color w:val="000000"/>
          <w:kern w:val="0"/>
          <w:sz w:val="13"/>
          <w:szCs w:val="13"/>
          <w:highlight w:val="none"/>
        </w:rPr>
        <w:t>服务平台。</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企业/同业网银：指乙方以互联网为基础，为甲方提供在PC端上办理查询、结算、投资、融资等业务的综合性金融服务平台，是甲方开通并使用企业/同业金融电子渠道其他操作终端及各项渠道服务的基础。</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兴业管家</w:t>
      </w:r>
      <w:r>
        <w:rPr>
          <w:rFonts w:hint="eastAsia" w:ascii="宋体" w:hAnsi="宋体" w:eastAsia="宋体" w:cs="宋体"/>
          <w:color w:val="000000"/>
          <w:kern w:val="0"/>
          <w:sz w:val="13"/>
          <w:szCs w:val="13"/>
          <w:highlight w:val="none"/>
          <w:lang w:val="en-US" w:eastAsia="zh-CN"/>
        </w:rPr>
        <w:t>App</w:t>
      </w:r>
      <w:r>
        <w:rPr>
          <w:rFonts w:hint="eastAsia" w:ascii="宋体" w:hAnsi="宋体" w:eastAsia="宋体" w:cs="宋体"/>
          <w:color w:val="000000"/>
          <w:kern w:val="0"/>
          <w:sz w:val="13"/>
          <w:szCs w:val="13"/>
          <w:highlight w:val="none"/>
        </w:rPr>
        <w:t>：指乙方以移动互联网为基础，为甲方提供在智能手机、平板电脑、智能穿戴设备等移动终端上办理预约开户、查询、结算、投资、融资等金融服务和事务审批、即时通讯、差旅出行、费用报销、员工管理等移动办公服务的企业综合性移动金融服务平台。</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银企</w:t>
      </w:r>
      <w:bookmarkStart w:id="2" w:name="_Hlk118978370"/>
      <w:r>
        <w:rPr>
          <w:rFonts w:hint="eastAsia" w:ascii="宋体" w:hAnsi="宋体" w:eastAsia="宋体" w:cs="宋体"/>
          <w:color w:val="000000"/>
          <w:kern w:val="0"/>
          <w:sz w:val="13"/>
          <w:szCs w:val="13"/>
          <w:highlight w:val="none"/>
        </w:rPr>
        <w:t>/同业</w:t>
      </w:r>
      <w:bookmarkEnd w:id="2"/>
      <w:r>
        <w:rPr>
          <w:rFonts w:hint="eastAsia" w:ascii="宋体" w:hAnsi="宋体" w:eastAsia="宋体" w:cs="宋体"/>
          <w:color w:val="000000"/>
          <w:kern w:val="0"/>
          <w:sz w:val="13"/>
          <w:szCs w:val="13"/>
          <w:highlight w:val="none"/>
        </w:rPr>
        <w:t>直联：指通过互联网或专线将甲方内部系统（如财务系统、现金管理系统、ERP系统等）与乙方系统直接联通，为甲方提供查询、结算、投资、融资等业务办理的综合性金融服务平台。</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lang w:val="en-US" w:eastAsia="zh-CN"/>
        </w:rPr>
      </w:pPr>
      <w:r>
        <w:rPr>
          <w:rFonts w:hint="eastAsia" w:ascii="宋体" w:hAnsi="宋体" w:eastAsia="宋体" w:cs="宋体"/>
          <w:color w:val="000000"/>
          <w:kern w:val="0"/>
          <w:sz w:val="13"/>
          <w:szCs w:val="13"/>
          <w:highlight w:val="none"/>
        </w:rPr>
        <w:t>三、安全工具：指甲方在进行业务交易时，用于对甲方进行身份认证、保护甲方信息与资金安全的工具，包括用户的登录密码、短信验证码、客户证书、交易密码以及其他由甲方自行启用的生物特征认证工具（如人脸比对服务）等。</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客户证书：指由具有电子认证服务许可证的证书颁发机构（如中国金融认证中心）颁发的，用于标识甲方或甲方用户身份并对其发送的电子银行交易信息进行电子签名的数字证书，具体可表现为网盾、支付棒、手机盾、软证书等多种形态。在企业/同业金融电子渠道使用数字证书完成电子签名的业务行为均代表企业真实意愿。</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交易密码：指甲方通过企业/同业金融电子渠道向乙方发出转账、签约等交易时所使用的预先由甲方自行设置的、保护客户证书安全的密码，如网盾密码、支付棒PIN码、手机盾使用的数字密码、指纹密码与人脸密码等。</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四、业务指令：指甲方通过企业/同业金融电子渠道向乙方发出的符合乙方要求的查询、转账、签约等电子银行指令信息。</w:t>
      </w:r>
    </w:p>
    <w:p>
      <w:pPr>
        <w:keepNext w:val="0"/>
        <w:keepLines w:val="0"/>
        <w:pageBreakBefore w:val="0"/>
        <w:widowControl/>
        <w:kinsoku/>
        <w:wordWrap/>
        <w:overflowPunct/>
        <w:topLinePunct w:val="0"/>
        <w:autoSpaceDE/>
        <w:autoSpaceDN/>
        <w:bidi w:val="0"/>
        <w:adjustRightInd/>
        <w:snapToGrid/>
        <w:spacing w:line="140" w:lineRule="exact"/>
        <w:ind w:firstLine="261" w:firstLineChars="200"/>
        <w:jc w:val="center"/>
        <w:textAlignment w:val="auto"/>
        <w:outlineLvl w:val="0"/>
        <w:rPr>
          <w:rFonts w:hint="eastAsia" w:ascii="宋体" w:hAnsi="宋体" w:eastAsia="宋体" w:cs="宋体"/>
          <w:b/>
          <w:color w:val="000000"/>
          <w:kern w:val="0"/>
          <w:sz w:val="13"/>
          <w:szCs w:val="13"/>
          <w:highlight w:val="none"/>
        </w:rPr>
      </w:pPr>
      <w:r>
        <w:rPr>
          <w:rFonts w:hint="eastAsia" w:ascii="宋体" w:hAnsi="宋体" w:eastAsia="宋体" w:cs="宋体"/>
          <w:b/>
          <w:color w:val="000000"/>
          <w:kern w:val="0"/>
          <w:sz w:val="13"/>
          <w:szCs w:val="13"/>
          <w:highlight w:val="none"/>
        </w:rPr>
        <w:t>第二条 服务内容及服务的开通</w:t>
      </w:r>
    </w:p>
    <w:p>
      <w:pPr>
        <w:keepNext w:val="0"/>
        <w:keepLines w:val="0"/>
        <w:pageBreakBefore w:val="0"/>
        <w:widowControl/>
        <w:kinsoku/>
        <w:wordWrap/>
        <w:overflowPunct/>
        <w:topLinePunct w:val="0"/>
        <w:autoSpaceDE/>
        <w:autoSpaceDN/>
        <w:bidi w:val="0"/>
        <w:adjustRightInd/>
        <w:snapToGrid/>
        <w:spacing w:line="140" w:lineRule="exact"/>
        <w:ind w:firstLine="261" w:firstLineChars="200"/>
        <w:jc w:val="both"/>
        <w:textAlignment w:val="auto"/>
        <w:outlineLvl w:val="1"/>
        <w:rPr>
          <w:rFonts w:hint="eastAsia" w:ascii="宋体" w:hAnsi="宋体" w:eastAsia="宋体" w:cs="宋体"/>
          <w:b/>
          <w:kern w:val="0"/>
          <w:sz w:val="13"/>
          <w:szCs w:val="13"/>
          <w:highlight w:val="none"/>
        </w:rPr>
      </w:pPr>
      <w:r>
        <w:rPr>
          <w:rFonts w:hint="eastAsia" w:ascii="宋体" w:hAnsi="宋体" w:eastAsia="宋体" w:cs="宋体"/>
          <w:b/>
          <w:kern w:val="0"/>
          <w:sz w:val="13"/>
          <w:szCs w:val="13"/>
          <w:highlight w:val="none"/>
        </w:rPr>
        <w:t>一、服务内容</w:t>
      </w:r>
    </w:p>
    <w:p>
      <w:pPr>
        <w:keepNext w:val="0"/>
        <w:keepLines w:val="0"/>
        <w:pageBreakBefore w:val="0"/>
        <w:widowControl/>
        <w:kinsoku/>
        <w:wordWrap/>
        <w:overflowPunct/>
        <w:topLinePunct w:val="0"/>
        <w:autoSpaceDE/>
        <w:autoSpaceDN/>
        <w:bidi w:val="0"/>
        <w:adjustRightInd/>
        <w:snapToGrid/>
        <w:spacing w:line="140" w:lineRule="exact"/>
        <w:ind w:left="0" w:leftChars="0" w:firstLine="260" w:firstLineChars="200"/>
        <w:jc w:val="both"/>
        <w:textAlignment w:val="auto"/>
        <w:rPr>
          <w:rFonts w:hint="eastAsia" w:ascii="宋体" w:hAnsi="宋体" w:eastAsia="宋体" w:cs="宋体"/>
          <w:kern w:val="0"/>
          <w:sz w:val="13"/>
          <w:szCs w:val="13"/>
          <w:highlight w:val="none"/>
        </w:rPr>
      </w:pPr>
      <w:r>
        <w:rPr>
          <w:rFonts w:hint="eastAsia" w:ascii="宋体" w:hAnsi="宋体" w:eastAsia="宋体" w:cs="宋体"/>
          <w:kern w:val="0"/>
          <w:sz w:val="13"/>
          <w:szCs w:val="13"/>
          <w:highlight w:val="none"/>
        </w:rPr>
        <w:t>本协议所称兴业银行企业/同业金融电子渠道服务是乙方为甲方提供全面深度的互联网金融和非金融服务，且甲方所享受的服务内容将随乙方系统升级而持续优化。乙方可向甲方提供如下企业/同业金融电子渠道服务：</w:t>
      </w:r>
    </w:p>
    <w:p>
      <w:pPr>
        <w:keepNext w:val="0"/>
        <w:keepLines w:val="0"/>
        <w:pageBreakBefore w:val="0"/>
        <w:widowControl/>
        <w:kinsoku/>
        <w:wordWrap/>
        <w:overflowPunct/>
        <w:topLinePunct w:val="0"/>
        <w:autoSpaceDE/>
        <w:autoSpaceDN/>
        <w:bidi w:val="0"/>
        <w:adjustRightInd/>
        <w:snapToGrid/>
        <w:spacing w:line="140" w:lineRule="exact"/>
        <w:ind w:left="0" w:leftChars="0" w:firstLine="260" w:firstLineChars="200"/>
        <w:jc w:val="both"/>
        <w:textAlignment w:val="auto"/>
        <w:rPr>
          <w:rFonts w:hint="eastAsia" w:ascii="宋体" w:hAnsi="宋体" w:eastAsia="宋体" w:cs="宋体"/>
          <w:kern w:val="0"/>
          <w:sz w:val="13"/>
          <w:szCs w:val="13"/>
          <w:highlight w:val="none"/>
        </w:rPr>
      </w:pPr>
      <w:r>
        <w:rPr>
          <w:rFonts w:hint="eastAsia" w:ascii="宋体" w:hAnsi="宋体" w:eastAsia="宋体" w:cs="宋体"/>
          <w:kern w:val="0"/>
          <w:sz w:val="13"/>
          <w:szCs w:val="13"/>
          <w:highlight w:val="none"/>
        </w:rPr>
        <w:t>（一）预约开户、密码编制、业务意愿核实、服务咨询等流程优化服务；</w:t>
      </w:r>
    </w:p>
    <w:p>
      <w:pPr>
        <w:keepNext w:val="0"/>
        <w:keepLines w:val="0"/>
        <w:pageBreakBefore w:val="0"/>
        <w:widowControl/>
        <w:kinsoku/>
        <w:wordWrap/>
        <w:overflowPunct/>
        <w:topLinePunct w:val="0"/>
        <w:autoSpaceDE/>
        <w:autoSpaceDN/>
        <w:bidi w:val="0"/>
        <w:adjustRightInd/>
        <w:snapToGrid/>
        <w:spacing w:line="140" w:lineRule="exact"/>
        <w:ind w:left="0" w:leftChars="0" w:firstLine="260" w:firstLineChars="200"/>
        <w:jc w:val="both"/>
        <w:textAlignment w:val="auto"/>
        <w:rPr>
          <w:rFonts w:hint="eastAsia" w:ascii="宋体" w:hAnsi="宋体" w:eastAsia="宋体" w:cs="宋体"/>
          <w:kern w:val="0"/>
          <w:sz w:val="13"/>
          <w:szCs w:val="13"/>
          <w:highlight w:val="none"/>
        </w:rPr>
      </w:pPr>
      <w:r>
        <w:rPr>
          <w:rFonts w:hint="eastAsia" w:ascii="宋体" w:hAnsi="宋体" w:eastAsia="宋体" w:cs="宋体"/>
          <w:kern w:val="0"/>
          <w:sz w:val="13"/>
          <w:szCs w:val="13"/>
          <w:highlight w:val="none"/>
        </w:rPr>
        <w:t>（二）账户查询、交易查询等查询类服务；</w:t>
      </w:r>
    </w:p>
    <w:p>
      <w:pPr>
        <w:keepNext w:val="0"/>
        <w:keepLines w:val="0"/>
        <w:pageBreakBefore w:val="0"/>
        <w:widowControl/>
        <w:kinsoku/>
        <w:wordWrap/>
        <w:overflowPunct/>
        <w:topLinePunct w:val="0"/>
        <w:autoSpaceDE/>
        <w:autoSpaceDN/>
        <w:bidi w:val="0"/>
        <w:adjustRightInd/>
        <w:snapToGrid/>
        <w:spacing w:line="140" w:lineRule="exact"/>
        <w:ind w:left="0" w:leftChars="0" w:firstLine="260" w:firstLineChars="200"/>
        <w:jc w:val="both"/>
        <w:textAlignment w:val="auto"/>
        <w:rPr>
          <w:rFonts w:hint="eastAsia" w:ascii="宋体" w:hAnsi="宋体" w:eastAsia="宋体" w:cs="宋体"/>
          <w:kern w:val="0"/>
          <w:sz w:val="13"/>
          <w:szCs w:val="13"/>
          <w:highlight w:val="none"/>
        </w:rPr>
      </w:pPr>
      <w:r>
        <w:rPr>
          <w:rFonts w:hint="eastAsia" w:ascii="宋体" w:hAnsi="宋体" w:eastAsia="宋体" w:cs="宋体"/>
          <w:kern w:val="0"/>
          <w:sz w:val="13"/>
          <w:szCs w:val="13"/>
          <w:highlight w:val="none"/>
        </w:rPr>
        <w:t>（三）对外支付、内部转账、代发工资等资金结算类服务；</w:t>
      </w:r>
    </w:p>
    <w:p>
      <w:pPr>
        <w:keepNext w:val="0"/>
        <w:keepLines w:val="0"/>
        <w:pageBreakBefore w:val="0"/>
        <w:widowControl/>
        <w:kinsoku/>
        <w:wordWrap/>
        <w:overflowPunct/>
        <w:topLinePunct w:val="0"/>
        <w:autoSpaceDE/>
        <w:autoSpaceDN/>
        <w:bidi w:val="0"/>
        <w:adjustRightInd/>
        <w:snapToGrid/>
        <w:spacing w:line="140" w:lineRule="exact"/>
        <w:ind w:left="0" w:leftChars="0" w:firstLine="260" w:firstLineChars="200"/>
        <w:jc w:val="both"/>
        <w:textAlignment w:val="auto"/>
        <w:rPr>
          <w:rFonts w:hint="eastAsia" w:ascii="宋体" w:hAnsi="宋体" w:eastAsia="宋体" w:cs="宋体"/>
          <w:kern w:val="0"/>
          <w:sz w:val="13"/>
          <w:szCs w:val="13"/>
          <w:highlight w:val="none"/>
        </w:rPr>
      </w:pPr>
      <w:r>
        <w:rPr>
          <w:rFonts w:hint="eastAsia" w:ascii="宋体" w:hAnsi="宋体" w:eastAsia="宋体" w:cs="宋体"/>
          <w:kern w:val="0"/>
          <w:sz w:val="13"/>
          <w:szCs w:val="13"/>
          <w:highlight w:val="none"/>
        </w:rPr>
        <w:t>（四）投资理财、商业汇票、企业贷款等投融资类服务；</w:t>
      </w:r>
    </w:p>
    <w:p>
      <w:pPr>
        <w:keepNext w:val="0"/>
        <w:keepLines w:val="0"/>
        <w:pageBreakBefore w:val="0"/>
        <w:widowControl/>
        <w:kinsoku/>
        <w:wordWrap/>
        <w:overflowPunct/>
        <w:topLinePunct w:val="0"/>
        <w:autoSpaceDE/>
        <w:autoSpaceDN/>
        <w:bidi w:val="0"/>
        <w:adjustRightInd/>
        <w:snapToGrid/>
        <w:spacing w:line="140" w:lineRule="exact"/>
        <w:ind w:left="0" w:leftChars="0" w:firstLine="260" w:firstLineChars="200"/>
        <w:jc w:val="both"/>
        <w:textAlignment w:val="auto"/>
        <w:rPr>
          <w:rFonts w:hint="eastAsia" w:ascii="宋体" w:hAnsi="宋体" w:eastAsia="宋体" w:cs="宋体"/>
          <w:kern w:val="0"/>
          <w:sz w:val="13"/>
          <w:szCs w:val="13"/>
          <w:highlight w:val="none"/>
        </w:rPr>
      </w:pPr>
      <w:r>
        <w:rPr>
          <w:rFonts w:hint="eastAsia" w:ascii="宋体" w:hAnsi="宋体" w:eastAsia="宋体" w:cs="宋体"/>
          <w:kern w:val="0"/>
          <w:sz w:val="13"/>
          <w:szCs w:val="13"/>
          <w:highlight w:val="none"/>
        </w:rPr>
        <w:t>（五）结算中心、虚拟资金池等现金管理服务；</w:t>
      </w:r>
    </w:p>
    <w:p>
      <w:pPr>
        <w:keepNext w:val="0"/>
        <w:keepLines w:val="0"/>
        <w:pageBreakBefore w:val="0"/>
        <w:widowControl/>
        <w:kinsoku/>
        <w:wordWrap/>
        <w:overflowPunct/>
        <w:topLinePunct w:val="0"/>
        <w:autoSpaceDE/>
        <w:autoSpaceDN/>
        <w:bidi w:val="0"/>
        <w:adjustRightInd/>
        <w:snapToGrid/>
        <w:spacing w:line="140" w:lineRule="exact"/>
        <w:ind w:left="0" w:leftChars="0" w:firstLine="260" w:firstLineChars="200"/>
        <w:jc w:val="both"/>
        <w:textAlignment w:val="auto"/>
        <w:rPr>
          <w:rFonts w:hint="eastAsia" w:ascii="宋体" w:hAnsi="宋体" w:eastAsia="宋体" w:cs="宋体"/>
          <w:kern w:val="0"/>
          <w:sz w:val="13"/>
          <w:szCs w:val="13"/>
          <w:highlight w:val="none"/>
        </w:rPr>
      </w:pPr>
      <w:r>
        <w:rPr>
          <w:rFonts w:hint="eastAsia" w:ascii="宋体" w:hAnsi="宋体" w:eastAsia="宋体" w:cs="宋体"/>
          <w:kern w:val="0"/>
          <w:sz w:val="13"/>
          <w:szCs w:val="13"/>
          <w:highlight w:val="none"/>
        </w:rPr>
        <w:t>（六）为选择企业/同业金融电子渠道移动版（兴业管家</w:t>
      </w:r>
      <w:r>
        <w:rPr>
          <w:rFonts w:hint="eastAsia" w:ascii="宋体" w:hAnsi="宋体" w:eastAsia="宋体" w:cs="宋体"/>
          <w:kern w:val="0"/>
          <w:sz w:val="13"/>
          <w:szCs w:val="13"/>
          <w:highlight w:val="none"/>
          <w:lang w:val="en-US" w:eastAsia="zh-CN"/>
        </w:rPr>
        <w:t>App</w:t>
      </w:r>
      <w:r>
        <w:rPr>
          <w:rFonts w:hint="eastAsia" w:ascii="宋体" w:hAnsi="宋体" w:eastAsia="宋体" w:cs="宋体"/>
          <w:kern w:val="0"/>
          <w:sz w:val="13"/>
          <w:szCs w:val="13"/>
          <w:highlight w:val="none"/>
        </w:rPr>
        <w:t>）的客户，提供事务审批、即时通讯、差旅出行、费用报销、员工管理等非金融性质的移动办公增值服务；</w:t>
      </w:r>
    </w:p>
    <w:p>
      <w:pPr>
        <w:keepNext w:val="0"/>
        <w:keepLines w:val="0"/>
        <w:pageBreakBefore w:val="0"/>
        <w:widowControl/>
        <w:kinsoku/>
        <w:wordWrap/>
        <w:overflowPunct/>
        <w:topLinePunct w:val="0"/>
        <w:autoSpaceDE/>
        <w:autoSpaceDN/>
        <w:bidi w:val="0"/>
        <w:adjustRightInd/>
        <w:snapToGrid/>
        <w:spacing w:line="140" w:lineRule="exact"/>
        <w:ind w:left="0" w:leftChars="0" w:firstLine="260" w:firstLineChars="200"/>
        <w:jc w:val="both"/>
        <w:textAlignment w:val="auto"/>
        <w:rPr>
          <w:rFonts w:hint="eastAsia" w:ascii="宋体" w:hAnsi="宋体" w:eastAsia="宋体" w:cs="宋体"/>
          <w:kern w:val="0"/>
          <w:sz w:val="13"/>
          <w:szCs w:val="13"/>
          <w:highlight w:val="none"/>
        </w:rPr>
      </w:pPr>
      <w:r>
        <w:rPr>
          <w:rFonts w:hint="eastAsia" w:ascii="宋体" w:hAnsi="宋体" w:eastAsia="宋体" w:cs="宋体"/>
          <w:kern w:val="0"/>
          <w:sz w:val="13"/>
          <w:szCs w:val="13"/>
          <w:highlight w:val="none"/>
          <w:lang w:eastAsia="zh-CN"/>
        </w:rPr>
        <w:t>（</w:t>
      </w:r>
      <w:r>
        <w:rPr>
          <w:rFonts w:hint="eastAsia" w:ascii="宋体" w:hAnsi="宋体" w:eastAsia="宋体" w:cs="宋体"/>
          <w:kern w:val="0"/>
          <w:sz w:val="13"/>
          <w:szCs w:val="13"/>
          <w:highlight w:val="none"/>
          <w:lang w:val="en-US" w:eastAsia="zh-CN"/>
        </w:rPr>
        <w:t>七</w:t>
      </w:r>
      <w:r>
        <w:rPr>
          <w:rFonts w:hint="eastAsia" w:ascii="宋体" w:hAnsi="宋体" w:eastAsia="宋体" w:cs="宋体"/>
          <w:kern w:val="0"/>
          <w:sz w:val="13"/>
          <w:szCs w:val="13"/>
          <w:highlight w:val="none"/>
          <w:lang w:eastAsia="zh-CN"/>
        </w:rPr>
        <w:t>）</w:t>
      </w:r>
      <w:r>
        <w:rPr>
          <w:rFonts w:hint="eastAsia" w:ascii="宋体" w:hAnsi="宋体" w:eastAsia="宋体" w:cs="宋体"/>
          <w:kern w:val="0"/>
          <w:sz w:val="13"/>
          <w:szCs w:val="13"/>
          <w:highlight w:val="none"/>
          <w:lang w:val="en-US" w:eastAsia="zh-CN"/>
        </w:rPr>
        <w:t>为选择银企/同业直联的客户，提供业务培训与咨询，开发对接、测试联调及系统上线等过程的运维答疑与咨询，银企直联系统相关软件的更新版本与培训，因通讯与网络等原因的故障排除或提供补救措施等各项系统对接实施与运维服务。</w:t>
      </w:r>
    </w:p>
    <w:p>
      <w:pPr>
        <w:keepNext w:val="0"/>
        <w:keepLines w:val="0"/>
        <w:pageBreakBefore w:val="0"/>
        <w:widowControl/>
        <w:kinsoku/>
        <w:wordWrap/>
        <w:overflowPunct/>
        <w:topLinePunct w:val="0"/>
        <w:autoSpaceDE/>
        <w:autoSpaceDN/>
        <w:bidi w:val="0"/>
        <w:adjustRightInd/>
        <w:snapToGrid/>
        <w:spacing w:line="140" w:lineRule="exact"/>
        <w:ind w:left="0" w:leftChars="0" w:firstLine="260" w:firstLineChars="200"/>
        <w:jc w:val="both"/>
        <w:textAlignment w:val="auto"/>
        <w:rPr>
          <w:rFonts w:hint="eastAsia" w:ascii="宋体" w:hAnsi="宋体" w:eastAsia="宋体" w:cs="宋体"/>
          <w:kern w:val="0"/>
          <w:sz w:val="13"/>
          <w:szCs w:val="13"/>
          <w:highlight w:val="none"/>
        </w:rPr>
      </w:pPr>
      <w:r>
        <w:rPr>
          <w:rFonts w:hint="eastAsia" w:ascii="宋体" w:hAnsi="宋体" w:eastAsia="宋体" w:cs="宋体"/>
          <w:kern w:val="0"/>
          <w:sz w:val="13"/>
          <w:szCs w:val="13"/>
          <w:highlight w:val="none"/>
        </w:rPr>
        <w:t>（</w:t>
      </w:r>
      <w:r>
        <w:rPr>
          <w:rFonts w:hint="eastAsia" w:ascii="宋体" w:hAnsi="宋体" w:eastAsia="宋体" w:cs="宋体"/>
          <w:kern w:val="0"/>
          <w:sz w:val="13"/>
          <w:szCs w:val="13"/>
          <w:highlight w:val="none"/>
          <w:lang w:val="en-US" w:eastAsia="zh-CN"/>
        </w:rPr>
        <w:t>八</w:t>
      </w:r>
      <w:r>
        <w:rPr>
          <w:rFonts w:hint="eastAsia" w:ascii="宋体" w:hAnsi="宋体" w:eastAsia="宋体" w:cs="宋体"/>
          <w:kern w:val="0"/>
          <w:sz w:val="13"/>
          <w:szCs w:val="13"/>
          <w:highlight w:val="none"/>
        </w:rPr>
        <w:t>）其他乙方企业/同业金融电子渠道可支持的结算、投资、融资等综合性金融服务或经双方书面约定的金融服务。</w:t>
      </w:r>
    </w:p>
    <w:p>
      <w:pPr>
        <w:keepNext w:val="0"/>
        <w:keepLines w:val="0"/>
        <w:pageBreakBefore w:val="0"/>
        <w:widowControl/>
        <w:kinsoku/>
        <w:wordWrap/>
        <w:overflowPunct/>
        <w:topLinePunct w:val="0"/>
        <w:autoSpaceDE/>
        <w:autoSpaceDN/>
        <w:bidi w:val="0"/>
        <w:adjustRightInd/>
        <w:snapToGrid/>
        <w:spacing w:line="140" w:lineRule="exact"/>
        <w:ind w:left="0" w:leftChars="0" w:firstLine="260" w:firstLineChars="200"/>
        <w:jc w:val="both"/>
        <w:textAlignment w:val="auto"/>
        <w:rPr>
          <w:rFonts w:hint="eastAsia" w:ascii="宋体" w:hAnsi="宋体" w:eastAsia="宋体" w:cs="宋体"/>
          <w:kern w:val="0"/>
          <w:sz w:val="13"/>
          <w:szCs w:val="13"/>
          <w:highlight w:val="none"/>
        </w:rPr>
      </w:pPr>
      <w:r>
        <w:rPr>
          <w:rFonts w:hint="eastAsia" w:ascii="宋体" w:hAnsi="宋体" w:eastAsia="宋体" w:cs="宋体"/>
          <w:color w:val="000000"/>
          <w:kern w:val="0"/>
          <w:sz w:val="13"/>
          <w:szCs w:val="13"/>
          <w:highlight w:val="none"/>
        </w:rPr>
        <w:t>甲方同意乙方根据法律、法规、监管及安全保障、优化服务等需要，对服务内容及系统功能进行动态调整。</w:t>
      </w:r>
    </w:p>
    <w:p>
      <w:pPr>
        <w:keepNext w:val="0"/>
        <w:keepLines w:val="0"/>
        <w:pageBreakBefore w:val="0"/>
        <w:widowControl/>
        <w:kinsoku/>
        <w:wordWrap/>
        <w:overflowPunct/>
        <w:topLinePunct w:val="0"/>
        <w:autoSpaceDE/>
        <w:autoSpaceDN/>
        <w:bidi w:val="0"/>
        <w:adjustRightInd/>
        <w:snapToGrid/>
        <w:spacing w:line="140" w:lineRule="exact"/>
        <w:ind w:left="0" w:leftChars="0" w:firstLine="261" w:firstLineChars="200"/>
        <w:jc w:val="both"/>
        <w:textAlignment w:val="auto"/>
        <w:outlineLvl w:val="1"/>
        <w:rPr>
          <w:rFonts w:hint="eastAsia" w:ascii="宋体" w:hAnsi="宋体" w:eastAsia="宋体" w:cs="宋体"/>
          <w:b/>
          <w:kern w:val="0"/>
          <w:sz w:val="13"/>
          <w:szCs w:val="13"/>
          <w:highlight w:val="none"/>
        </w:rPr>
      </w:pPr>
      <w:r>
        <w:rPr>
          <w:rFonts w:hint="eastAsia" w:ascii="宋体" w:hAnsi="宋体" w:eastAsia="宋体" w:cs="宋体"/>
          <w:b/>
          <w:kern w:val="0"/>
          <w:sz w:val="13"/>
          <w:szCs w:val="13"/>
          <w:highlight w:val="none"/>
        </w:rPr>
        <w:t>二、</w:t>
      </w:r>
      <w:r>
        <w:rPr>
          <w:rFonts w:hint="eastAsia" w:ascii="宋体" w:hAnsi="宋体" w:eastAsia="宋体" w:cs="宋体"/>
          <w:b/>
          <w:kern w:val="0"/>
          <w:sz w:val="13"/>
          <w:szCs w:val="13"/>
          <w:highlight w:val="none"/>
          <w:lang w:val="en-US" w:eastAsia="zh-CN"/>
        </w:rPr>
        <w:t>电子渠道和</w:t>
      </w:r>
      <w:r>
        <w:rPr>
          <w:rFonts w:hint="eastAsia" w:ascii="宋体" w:hAnsi="宋体" w:eastAsia="宋体" w:cs="宋体"/>
          <w:b/>
          <w:kern w:val="0"/>
          <w:sz w:val="13"/>
          <w:szCs w:val="13"/>
          <w:highlight w:val="none"/>
        </w:rPr>
        <w:t>服务的开通</w:t>
      </w:r>
    </w:p>
    <w:p>
      <w:pPr>
        <w:keepNext w:val="0"/>
        <w:keepLines w:val="0"/>
        <w:pageBreakBefore w:val="0"/>
        <w:widowControl/>
        <w:kinsoku/>
        <w:wordWrap/>
        <w:overflowPunct/>
        <w:topLinePunct w:val="0"/>
        <w:autoSpaceDE/>
        <w:autoSpaceDN/>
        <w:bidi w:val="0"/>
        <w:adjustRightInd/>
        <w:snapToGrid/>
        <w:spacing w:line="140" w:lineRule="exact"/>
        <w:ind w:left="0" w:leftChars="0" w:firstLine="260" w:firstLineChars="200"/>
        <w:jc w:val="both"/>
        <w:textAlignment w:val="auto"/>
        <w:rPr>
          <w:rFonts w:hint="eastAsia" w:ascii="宋体" w:hAnsi="宋体" w:eastAsia="宋体" w:cs="宋体"/>
          <w:color w:val="000000"/>
          <w:kern w:val="0"/>
          <w:sz w:val="13"/>
          <w:szCs w:val="13"/>
          <w:highlight w:val="none"/>
          <w:lang w:eastAsia="zh-CN"/>
        </w:rPr>
      </w:pPr>
      <w:r>
        <w:rPr>
          <w:rFonts w:hint="eastAsia" w:ascii="宋体" w:hAnsi="宋体" w:eastAsia="宋体" w:cs="宋体"/>
          <w:color w:val="000000"/>
          <w:kern w:val="0"/>
          <w:sz w:val="13"/>
          <w:szCs w:val="13"/>
          <w:highlight w:val="none"/>
        </w:rPr>
        <w:t>甲方在充分阅读并完整理解本协议内容的基础上，自愿</w:t>
      </w:r>
      <w:r>
        <w:rPr>
          <w:rFonts w:hint="eastAsia" w:ascii="宋体" w:hAnsi="宋体" w:eastAsia="宋体" w:cs="宋体"/>
          <w:color w:val="000000"/>
          <w:kern w:val="0"/>
          <w:sz w:val="13"/>
          <w:szCs w:val="13"/>
          <w:highlight w:val="none"/>
          <w:lang w:val="en-US" w:eastAsia="zh-CN"/>
        </w:rPr>
        <w:t>选择</w:t>
      </w:r>
      <w:r>
        <w:rPr>
          <w:rFonts w:hint="eastAsia" w:ascii="宋体" w:hAnsi="宋体" w:eastAsia="宋体" w:cs="宋体"/>
          <w:color w:val="000000"/>
          <w:kern w:val="0"/>
          <w:sz w:val="13"/>
          <w:szCs w:val="13"/>
          <w:highlight w:val="none"/>
        </w:rPr>
        <w:t>开通</w:t>
      </w:r>
      <w:r>
        <w:rPr>
          <w:rFonts w:hint="eastAsia" w:ascii="宋体" w:hAnsi="宋体" w:eastAsia="宋体" w:cs="宋体"/>
          <w:color w:val="000000"/>
          <w:kern w:val="0"/>
          <w:sz w:val="13"/>
          <w:szCs w:val="13"/>
          <w:highlight w:val="none"/>
          <w:lang w:val="en-US" w:eastAsia="zh-CN"/>
        </w:rPr>
        <w:t>具体的</w:t>
      </w:r>
      <w:r>
        <w:rPr>
          <w:rFonts w:hint="eastAsia" w:ascii="宋体" w:hAnsi="宋体" w:eastAsia="宋体" w:cs="宋体"/>
          <w:color w:val="000000"/>
          <w:kern w:val="0"/>
          <w:sz w:val="13"/>
          <w:szCs w:val="13"/>
          <w:highlight w:val="none"/>
        </w:rPr>
        <w:t>兴业银行企业/同业金融电子渠道</w:t>
      </w:r>
      <w:r>
        <w:rPr>
          <w:rFonts w:hint="eastAsia" w:ascii="宋体" w:hAnsi="宋体" w:eastAsia="宋体" w:cs="宋体"/>
          <w:color w:val="000000"/>
          <w:kern w:val="0"/>
          <w:sz w:val="13"/>
          <w:szCs w:val="13"/>
          <w:highlight w:val="none"/>
          <w:lang w:val="en-US" w:eastAsia="zh-CN"/>
        </w:rPr>
        <w:t>和相关服务</w:t>
      </w:r>
      <w:r>
        <w:rPr>
          <w:rFonts w:hint="eastAsia" w:ascii="宋体" w:hAnsi="宋体" w:eastAsia="宋体" w:cs="宋体"/>
          <w:color w:val="000000"/>
          <w:kern w:val="0"/>
          <w:sz w:val="13"/>
          <w:szCs w:val="13"/>
          <w:highlight w:val="none"/>
        </w:rPr>
        <w:t>。甲方应按照乙方规定的服务办理程序提供本协议及相关服务申请表格、乙方根据客户身份识别/持续识别等需要所要求提供的相关材料，通过乙方服务渠道申请签约开通企业/同业金融电子渠道相关服务。签署本协议并不代表开通相关业务功能，具体开通的业务功能以甲方申请并经乙方同意后实际开通的为准</w:t>
      </w:r>
      <w:r>
        <w:rPr>
          <w:rFonts w:hint="eastAsia" w:ascii="宋体" w:hAnsi="宋体" w:eastAsia="宋体" w:cs="宋体"/>
          <w:color w:val="000000"/>
          <w:kern w:val="0"/>
          <w:sz w:val="13"/>
          <w:szCs w:val="13"/>
          <w:highlight w:val="none"/>
          <w:lang w:eastAsia="zh-CN"/>
        </w:rPr>
        <w:t>。</w:t>
      </w:r>
    </w:p>
    <w:p>
      <w:pPr>
        <w:keepNext w:val="0"/>
        <w:keepLines w:val="0"/>
        <w:pageBreakBefore w:val="0"/>
        <w:widowControl/>
        <w:kinsoku/>
        <w:wordWrap/>
        <w:overflowPunct/>
        <w:topLinePunct w:val="0"/>
        <w:autoSpaceDE/>
        <w:autoSpaceDN/>
        <w:bidi w:val="0"/>
        <w:adjustRightInd/>
        <w:snapToGrid/>
        <w:spacing w:line="140" w:lineRule="exact"/>
        <w:ind w:left="0" w:leftChars="0"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对于按照乙方</w:t>
      </w:r>
      <w:r>
        <w:rPr>
          <w:rFonts w:hint="eastAsia" w:ascii="宋体" w:hAnsi="宋体" w:eastAsia="宋体" w:cs="宋体"/>
          <w:kern w:val="0"/>
          <w:sz w:val="13"/>
          <w:szCs w:val="13"/>
          <w:highlight w:val="none"/>
        </w:rPr>
        <w:t>的管理要求，还需签订服务协议、提供申请表等材料的</w:t>
      </w:r>
      <w:r>
        <w:rPr>
          <w:rFonts w:hint="eastAsia" w:ascii="宋体" w:hAnsi="宋体" w:eastAsia="宋体" w:cs="宋体"/>
          <w:color w:val="000000"/>
          <w:kern w:val="0"/>
          <w:sz w:val="13"/>
          <w:szCs w:val="13"/>
          <w:highlight w:val="none"/>
        </w:rPr>
        <w:t>相关业务、</w:t>
      </w:r>
      <w:r>
        <w:rPr>
          <w:rFonts w:hint="eastAsia" w:ascii="宋体" w:hAnsi="宋体" w:eastAsia="宋体" w:cs="宋体"/>
          <w:kern w:val="0"/>
          <w:sz w:val="13"/>
          <w:szCs w:val="13"/>
          <w:highlight w:val="none"/>
        </w:rPr>
        <w:t>服务，甲方还应按乙方要求提供相关材料</w:t>
      </w:r>
      <w:r>
        <w:rPr>
          <w:rFonts w:hint="eastAsia" w:ascii="宋体" w:hAnsi="宋体" w:eastAsia="宋体" w:cs="宋体"/>
          <w:color w:val="000000"/>
          <w:kern w:val="0"/>
          <w:sz w:val="13"/>
          <w:szCs w:val="13"/>
          <w:highlight w:val="none"/>
        </w:rPr>
        <w:t>。</w:t>
      </w:r>
    </w:p>
    <w:p>
      <w:pPr>
        <w:keepNext w:val="0"/>
        <w:keepLines w:val="0"/>
        <w:pageBreakBefore w:val="0"/>
        <w:widowControl/>
        <w:kinsoku/>
        <w:wordWrap/>
        <w:overflowPunct/>
        <w:topLinePunct w:val="0"/>
        <w:autoSpaceDE/>
        <w:autoSpaceDN/>
        <w:bidi w:val="0"/>
        <w:adjustRightInd/>
        <w:snapToGrid/>
        <w:spacing w:line="140" w:lineRule="exact"/>
        <w:ind w:left="0" w:leftChars="0"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甲方享受上述银行服务须具备相关电子设备及能接入乙方企业/同业金融电子渠道系统的网络。</w:t>
      </w:r>
    </w:p>
    <w:p>
      <w:pPr>
        <w:keepNext w:val="0"/>
        <w:keepLines w:val="0"/>
        <w:pageBreakBefore w:val="0"/>
        <w:widowControl/>
        <w:kinsoku/>
        <w:wordWrap/>
        <w:overflowPunct/>
        <w:topLinePunct w:val="0"/>
        <w:autoSpaceDE/>
        <w:autoSpaceDN/>
        <w:bidi w:val="0"/>
        <w:adjustRightInd/>
        <w:snapToGrid/>
        <w:spacing w:line="140" w:lineRule="exact"/>
        <w:jc w:val="center"/>
        <w:textAlignment w:val="auto"/>
        <w:outlineLvl w:val="0"/>
        <w:rPr>
          <w:rFonts w:hint="eastAsia" w:ascii="宋体" w:hAnsi="宋体" w:eastAsia="宋体" w:cs="宋体"/>
          <w:b/>
          <w:color w:val="000000"/>
          <w:kern w:val="0"/>
          <w:sz w:val="13"/>
          <w:szCs w:val="13"/>
          <w:highlight w:val="none"/>
        </w:rPr>
      </w:pPr>
      <w:r>
        <w:rPr>
          <w:rFonts w:hint="eastAsia" w:ascii="宋体" w:hAnsi="宋体" w:eastAsia="宋体" w:cs="宋体"/>
          <w:b/>
          <w:color w:val="000000"/>
          <w:kern w:val="0"/>
          <w:sz w:val="13"/>
          <w:szCs w:val="13"/>
          <w:highlight w:val="none"/>
        </w:rPr>
        <w:t>第三条 甲方权利和义务</w:t>
      </w:r>
    </w:p>
    <w:p>
      <w:pPr>
        <w:keepNext w:val="0"/>
        <w:keepLines w:val="0"/>
        <w:pageBreakBefore w:val="0"/>
        <w:widowControl/>
        <w:kinsoku/>
        <w:wordWrap/>
        <w:overflowPunct/>
        <w:topLinePunct w:val="0"/>
        <w:autoSpaceDE/>
        <w:autoSpaceDN/>
        <w:bidi w:val="0"/>
        <w:adjustRightInd/>
        <w:snapToGrid/>
        <w:spacing w:line="140" w:lineRule="exact"/>
        <w:ind w:firstLine="261" w:firstLineChars="200"/>
        <w:jc w:val="both"/>
        <w:textAlignment w:val="auto"/>
        <w:outlineLvl w:val="1"/>
        <w:rPr>
          <w:rFonts w:hint="eastAsia" w:ascii="宋体" w:hAnsi="宋体" w:eastAsia="宋体" w:cs="宋体"/>
          <w:b/>
          <w:kern w:val="0"/>
          <w:sz w:val="13"/>
          <w:szCs w:val="13"/>
          <w:highlight w:val="none"/>
        </w:rPr>
      </w:pPr>
      <w:r>
        <w:rPr>
          <w:rFonts w:hint="eastAsia" w:ascii="宋体" w:hAnsi="宋体" w:eastAsia="宋体" w:cs="宋体"/>
          <w:b/>
          <w:kern w:val="0"/>
          <w:sz w:val="13"/>
          <w:szCs w:val="13"/>
          <w:highlight w:val="none"/>
          <w:lang w:val="en-US" w:eastAsia="zh-CN"/>
        </w:rPr>
        <w:t>一、</w:t>
      </w:r>
      <w:r>
        <w:rPr>
          <w:rFonts w:hint="eastAsia" w:ascii="宋体" w:hAnsi="宋体" w:eastAsia="宋体" w:cs="宋体"/>
          <w:b/>
          <w:kern w:val="0"/>
          <w:sz w:val="13"/>
          <w:szCs w:val="13"/>
          <w:highlight w:val="none"/>
        </w:rPr>
        <w:t>主要权利</w:t>
      </w:r>
    </w:p>
    <w:p>
      <w:pPr>
        <w:keepNext w:val="0"/>
        <w:keepLines w:val="0"/>
        <w:pageBreakBefore w:val="0"/>
        <w:widowControl/>
        <w:kinsoku/>
        <w:wordWrap/>
        <w:overflowPunct/>
        <w:topLinePunct w:val="0"/>
        <w:autoSpaceDE/>
        <w:autoSpaceDN/>
        <w:bidi w:val="0"/>
        <w:adjustRightInd/>
        <w:snapToGrid/>
        <w:spacing w:line="140" w:lineRule="exact"/>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　　（一）甲方自愿申请乙方企业/同业金融电子渠道服务，经乙方审核同意后，将有权根据申请项目的不同享受相应的服务。</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b/>
          <w:bCs/>
          <w:color w:val="000000"/>
          <w:kern w:val="0"/>
          <w:sz w:val="13"/>
          <w:szCs w:val="13"/>
          <w:highlight w:val="none"/>
        </w:rPr>
      </w:pPr>
      <w:r>
        <w:rPr>
          <w:rFonts w:hint="eastAsia" w:ascii="宋体" w:hAnsi="宋体" w:eastAsia="宋体" w:cs="宋体"/>
          <w:color w:val="000000"/>
          <w:kern w:val="0"/>
          <w:sz w:val="13"/>
          <w:szCs w:val="13"/>
          <w:highlight w:val="none"/>
        </w:rPr>
        <w:t>（二）</w:t>
      </w:r>
      <w:r>
        <w:rPr>
          <w:rFonts w:hint="eastAsia" w:ascii="宋体" w:hAnsi="宋体" w:eastAsia="宋体" w:cs="宋体"/>
          <w:b/>
          <w:bCs/>
          <w:color w:val="000000"/>
          <w:kern w:val="0"/>
          <w:sz w:val="13"/>
          <w:szCs w:val="13"/>
          <w:highlight w:val="none"/>
        </w:rPr>
        <w:t>在服务有效期内，若</w:t>
      </w:r>
      <w:r>
        <w:rPr>
          <w:rFonts w:hint="eastAsia" w:ascii="宋体" w:hAnsi="宋体" w:eastAsia="宋体" w:cs="宋体"/>
          <w:b/>
          <w:bCs/>
          <w:color w:val="000000"/>
          <w:kern w:val="0"/>
          <w:sz w:val="13"/>
          <w:szCs w:val="13"/>
          <w:highlight w:val="none"/>
          <w:lang w:val="en-US" w:eastAsia="zh-CN"/>
        </w:rPr>
        <w:t>未曾</w:t>
      </w:r>
      <w:r>
        <w:rPr>
          <w:rFonts w:hint="eastAsia" w:ascii="宋体" w:hAnsi="宋体" w:eastAsia="宋体" w:cs="宋体"/>
          <w:b/>
          <w:bCs/>
          <w:color w:val="000000"/>
          <w:kern w:val="0"/>
          <w:sz w:val="13"/>
          <w:szCs w:val="13"/>
          <w:highlight w:val="none"/>
        </w:rPr>
        <w:t>通过企业/同业金融电子渠道办理事项，且经乙方确认不存在影响乙方及相关方权益的未完结事项时，甲方有权办理企业/同业金融电子渠道注销手续。</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（三）因网络、通讯故障等原因，甲方不能通过乙方企业/同业金融电子渠道系统办理业务时，可到乙方营业网点办理相应银行业务。</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（四）甲方对乙方企业/同业金融电子渠道服务如有疑问、建议或意见时，可拨打电话“95561”或到乙方营业网点进行咨询和投诉。</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（五）乙方将依法保障甲方包括财产安全权、知情权、自主选择权、公平交易权、信息安全权、依法求偿权、受教育权、受尊重权在内的消费者权益。</w:t>
      </w:r>
    </w:p>
    <w:p>
      <w:pPr>
        <w:keepNext w:val="0"/>
        <w:keepLines w:val="0"/>
        <w:pageBreakBefore w:val="0"/>
        <w:widowControl/>
        <w:kinsoku/>
        <w:wordWrap/>
        <w:overflowPunct/>
        <w:topLinePunct w:val="0"/>
        <w:autoSpaceDE/>
        <w:autoSpaceDN/>
        <w:bidi w:val="0"/>
        <w:adjustRightInd/>
        <w:snapToGrid/>
        <w:spacing w:line="140" w:lineRule="exact"/>
        <w:ind w:firstLine="261" w:firstLineChars="200"/>
        <w:jc w:val="both"/>
        <w:textAlignment w:val="auto"/>
        <w:outlineLvl w:val="1"/>
        <w:rPr>
          <w:rFonts w:hint="eastAsia" w:ascii="宋体" w:hAnsi="宋体" w:eastAsia="宋体" w:cs="宋体"/>
          <w:b/>
          <w:kern w:val="0"/>
          <w:sz w:val="13"/>
          <w:szCs w:val="13"/>
          <w:highlight w:val="none"/>
        </w:rPr>
      </w:pPr>
      <w:r>
        <w:rPr>
          <w:rFonts w:hint="eastAsia" w:ascii="宋体" w:hAnsi="宋体" w:eastAsia="宋体" w:cs="宋体"/>
          <w:b/>
          <w:kern w:val="0"/>
          <w:sz w:val="13"/>
          <w:szCs w:val="13"/>
          <w:highlight w:val="none"/>
          <w:lang w:val="en-US" w:eastAsia="zh-CN"/>
        </w:rPr>
        <w:t>二、</w:t>
      </w:r>
      <w:r>
        <w:rPr>
          <w:rFonts w:hint="eastAsia" w:ascii="宋体" w:hAnsi="宋体" w:eastAsia="宋体" w:cs="宋体"/>
          <w:b/>
          <w:kern w:val="0"/>
          <w:sz w:val="13"/>
          <w:szCs w:val="13"/>
          <w:highlight w:val="none"/>
        </w:rPr>
        <w:t>主要义务</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一）甲方办理企业/同业金融电子渠道服务开通、注销、修改资料等手续时，应提供相关申请/变更表及证明资料。甲方应保证所填写的企业/同业金融电子渠道服务申请表和所提供的资料真实、准确、完整合规。对于因甲方提供信息不真实、不准确、不完整、不合规等所造成的损失由甲方承担。甲方所填写或提供的申请表、资料及其他与本协议有关的文件，经乙方审核并同意后，均为本协议不可分割的组成部分。</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b/>
          <w:bCs/>
          <w:color w:val="000000"/>
          <w:kern w:val="0"/>
          <w:sz w:val="13"/>
          <w:szCs w:val="13"/>
          <w:highlight w:val="none"/>
        </w:rPr>
      </w:pPr>
      <w:r>
        <w:rPr>
          <w:rFonts w:hint="eastAsia" w:ascii="宋体" w:hAnsi="宋体" w:eastAsia="宋体" w:cs="宋体"/>
          <w:color w:val="000000"/>
          <w:kern w:val="0"/>
          <w:sz w:val="13"/>
          <w:szCs w:val="13"/>
          <w:highlight w:val="none"/>
        </w:rPr>
        <w:t>（二）</w:t>
      </w:r>
      <w:r>
        <w:rPr>
          <w:rFonts w:hint="eastAsia" w:ascii="宋体" w:hAnsi="宋体" w:eastAsia="宋体" w:cs="宋体"/>
          <w:b/>
          <w:bCs/>
          <w:color w:val="000000"/>
          <w:kern w:val="0"/>
          <w:sz w:val="13"/>
          <w:szCs w:val="13"/>
          <w:highlight w:val="none"/>
        </w:rPr>
        <w:t>甲方在使用电子银行服务过程中，所提供的资料信息如有更改，例如基本信息、联系方式变更、增（减）账号等，应及时按乙方要求办理有关变更手续，在此之前所产生的一切非乙方因素造成的风险和后果由甲方承担。</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三）甲方知悉并确认在使用乙方企业/同业金融电子渠道服务过程中，乙方可凭甲方用户名与安全工具识别甲方身份，所有使用甲方用户名与安全工具办理的业务和操作，均视为甲方行为并代表甲方的真实意思表示。</w:t>
      </w:r>
    </w:p>
    <w:p>
      <w:pPr>
        <w:keepNext w:val="0"/>
        <w:keepLines w:val="0"/>
        <w:pageBreakBefore w:val="0"/>
        <w:widowControl/>
        <w:kinsoku/>
        <w:wordWrap/>
        <w:overflowPunct/>
        <w:topLinePunct w:val="0"/>
        <w:autoSpaceDE/>
        <w:autoSpaceDN/>
        <w:bidi w:val="0"/>
        <w:adjustRightInd/>
        <w:snapToGrid/>
        <w:spacing w:line="140" w:lineRule="exact"/>
        <w:ind w:firstLine="261" w:firstLineChars="200"/>
        <w:jc w:val="both"/>
        <w:textAlignment w:val="auto"/>
        <w:rPr>
          <w:rFonts w:hint="eastAsia" w:ascii="宋体" w:hAnsi="宋体" w:eastAsia="宋体" w:cs="宋体"/>
          <w:b/>
          <w:color w:val="000000"/>
          <w:kern w:val="0"/>
          <w:sz w:val="13"/>
          <w:szCs w:val="13"/>
          <w:highlight w:val="none"/>
        </w:rPr>
      </w:pPr>
      <w:r>
        <w:rPr>
          <w:rFonts w:hint="eastAsia" w:ascii="宋体" w:hAnsi="宋体" w:eastAsia="宋体" w:cs="宋体"/>
          <w:b/>
          <w:color w:val="000000"/>
          <w:kern w:val="0"/>
          <w:sz w:val="13"/>
          <w:szCs w:val="13"/>
          <w:highlight w:val="none"/>
        </w:rPr>
        <w:t>甲方确认以客户证书形成的电子签名与甲方盖章或有权人签名具有同等的法律效力，任何使用甲方客户证书，通过乙方“企业/同业金融电子渠道”进行的操作或办理的业务，以及由此形成、传输、存储的业务指令、电子银行交易信息、数据电文、合同信息符合中国的法律、法规的规定，代表甲方的真实意思表示，对其具有法律约束力。</w:t>
      </w:r>
    </w:p>
    <w:p>
      <w:pPr>
        <w:keepNext w:val="0"/>
        <w:keepLines w:val="0"/>
        <w:pageBreakBefore w:val="0"/>
        <w:widowControl/>
        <w:kinsoku/>
        <w:wordWrap/>
        <w:overflowPunct/>
        <w:topLinePunct w:val="0"/>
        <w:autoSpaceDE/>
        <w:autoSpaceDN/>
        <w:bidi w:val="0"/>
        <w:adjustRightInd/>
        <w:snapToGrid/>
        <w:spacing w:line="140" w:lineRule="exact"/>
        <w:ind w:firstLine="261" w:firstLineChars="200"/>
        <w:jc w:val="both"/>
        <w:textAlignment w:val="auto"/>
        <w:rPr>
          <w:rFonts w:hint="eastAsia" w:ascii="宋体" w:hAnsi="宋体" w:eastAsia="宋体" w:cs="宋体"/>
          <w:b/>
          <w:color w:val="000000"/>
          <w:kern w:val="0"/>
          <w:sz w:val="13"/>
          <w:szCs w:val="13"/>
          <w:highlight w:val="none"/>
        </w:rPr>
      </w:pPr>
      <w:r>
        <w:rPr>
          <w:rFonts w:hint="eastAsia" w:ascii="宋体" w:hAnsi="宋体" w:eastAsia="宋体" w:cs="宋体"/>
          <w:b/>
          <w:color w:val="000000"/>
          <w:kern w:val="0"/>
          <w:sz w:val="13"/>
          <w:szCs w:val="13"/>
          <w:highlight w:val="none"/>
        </w:rPr>
        <w:t>甲方确认，乙方可根据企业/同业金融电子渠道记录、储存的记录填制相关业务凭证、单据，甲方认可其真实性、准确性和合法性。</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b/>
          <w:color w:val="000000"/>
          <w:kern w:val="0"/>
          <w:sz w:val="13"/>
          <w:szCs w:val="13"/>
          <w:highlight w:val="none"/>
        </w:rPr>
      </w:pPr>
      <w:r>
        <w:rPr>
          <w:rFonts w:hint="eastAsia" w:ascii="宋体" w:hAnsi="宋体" w:eastAsia="宋体" w:cs="宋体"/>
          <w:color w:val="000000"/>
          <w:kern w:val="0"/>
          <w:sz w:val="13"/>
          <w:szCs w:val="13"/>
          <w:highlight w:val="none"/>
        </w:rPr>
        <w:t>（四）甲方有义务妥善保管好终端设备、安全工具，切勿轻易泄漏企业/同业金融电子渠道登录用户名、登录密码、手机验证码、交易密码等重要信息。</w:t>
      </w:r>
      <w:r>
        <w:rPr>
          <w:rFonts w:hint="eastAsia" w:ascii="宋体" w:hAnsi="宋体" w:eastAsia="宋体" w:cs="宋体"/>
          <w:b/>
          <w:color w:val="000000"/>
          <w:kern w:val="0"/>
          <w:sz w:val="13"/>
          <w:szCs w:val="13"/>
          <w:highlight w:val="none"/>
        </w:rPr>
        <w:t>发生以下情况时，甲方应及时按照乙方规定的服务办理程序办理相应手续，否则可能导致甲方无法正常使用乙方企业/同业金融电子渠道功能或产生甲方账户、资金、信息安全性降低等风险。甲方应承担办妥手续之前非乙方因素造成的一切风险及后果：</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sz w:val="13"/>
          <w:szCs w:val="13"/>
          <w:highlight w:val="none"/>
        </w:rPr>
        <w:t>1</w:t>
      </w:r>
      <w:r>
        <w:rPr>
          <w:rFonts w:hint="eastAsia" w:ascii="宋体" w:hAnsi="宋体" w:eastAsia="宋体" w:cs="宋体"/>
          <w:sz w:val="13"/>
          <w:szCs w:val="13"/>
          <w:highlight w:val="none"/>
          <w:lang w:val="en-US" w:eastAsia="zh-CN"/>
        </w:rPr>
        <w:t>.</w:t>
      </w:r>
      <w:r>
        <w:rPr>
          <w:rFonts w:hint="eastAsia" w:ascii="宋体" w:hAnsi="宋体" w:eastAsia="宋体" w:cs="宋体"/>
          <w:color w:val="000000"/>
          <w:kern w:val="0"/>
          <w:sz w:val="13"/>
          <w:szCs w:val="13"/>
          <w:highlight w:val="none"/>
        </w:rPr>
        <w:t>甲方客户交易密码、登录密码泄露、遗忘、锁定，应及时办理密码重置手续。</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2</w:t>
      </w:r>
      <w:r>
        <w:rPr>
          <w:rFonts w:hint="eastAsia" w:ascii="宋体" w:hAnsi="宋体" w:eastAsia="宋体" w:cs="宋体"/>
          <w:color w:val="000000"/>
          <w:kern w:val="0"/>
          <w:sz w:val="13"/>
          <w:szCs w:val="13"/>
          <w:highlight w:val="none"/>
          <w:lang w:val="en-US" w:eastAsia="zh-CN"/>
        </w:rPr>
        <w:t>.</w:t>
      </w:r>
      <w:r>
        <w:rPr>
          <w:rFonts w:hint="eastAsia" w:ascii="宋体" w:hAnsi="宋体" w:eastAsia="宋体" w:cs="宋体"/>
          <w:color w:val="000000"/>
          <w:kern w:val="0"/>
          <w:sz w:val="13"/>
          <w:szCs w:val="13"/>
          <w:highlight w:val="none"/>
        </w:rPr>
        <w:t>甲方客户在乙方营业网点领取密码函时发现密码函破损，应当场办理更换手续。</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3</w:t>
      </w:r>
      <w:r>
        <w:rPr>
          <w:rFonts w:hint="eastAsia" w:ascii="宋体" w:hAnsi="宋体" w:eastAsia="宋体" w:cs="宋体"/>
          <w:color w:val="000000"/>
          <w:kern w:val="0"/>
          <w:sz w:val="13"/>
          <w:szCs w:val="13"/>
          <w:highlight w:val="none"/>
          <w:lang w:val="en-US" w:eastAsia="zh-CN"/>
        </w:rPr>
        <w:t>.</w:t>
      </w:r>
      <w:r>
        <w:rPr>
          <w:rFonts w:hint="eastAsia" w:ascii="宋体" w:hAnsi="宋体" w:eastAsia="宋体" w:cs="宋体"/>
          <w:color w:val="000000"/>
          <w:kern w:val="0"/>
          <w:sz w:val="13"/>
          <w:szCs w:val="13"/>
          <w:highlight w:val="none"/>
        </w:rPr>
        <w:t>甲方客户证书有效期届满，或在证书有效期内发生客户证书遗失、损坏，应及时办理证书更换、注销手续。</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4</w:t>
      </w:r>
      <w:r>
        <w:rPr>
          <w:rFonts w:hint="eastAsia" w:ascii="宋体" w:hAnsi="宋体" w:eastAsia="宋体" w:cs="宋体"/>
          <w:color w:val="000000"/>
          <w:kern w:val="0"/>
          <w:sz w:val="13"/>
          <w:szCs w:val="13"/>
          <w:highlight w:val="none"/>
          <w:lang w:val="en-US" w:eastAsia="zh-CN"/>
        </w:rPr>
        <w:t>.</w:t>
      </w:r>
      <w:r>
        <w:rPr>
          <w:rFonts w:hint="eastAsia" w:ascii="宋体" w:hAnsi="宋体" w:eastAsia="宋体" w:cs="宋体"/>
          <w:color w:val="000000"/>
          <w:kern w:val="0"/>
          <w:sz w:val="13"/>
          <w:szCs w:val="13"/>
          <w:highlight w:val="none"/>
        </w:rPr>
        <w:t>甲方存储手机盾的移动设备（手机）发生遗失或丧失控制等影响账户安全的情形，请及时办理手机盾注销手续并及时关闭对应移动设备（手机）的手机盾使用功能。</w:t>
      </w:r>
    </w:p>
    <w:p>
      <w:pPr>
        <w:keepNext w:val="0"/>
        <w:keepLines w:val="0"/>
        <w:pageBreakBefore w:val="0"/>
        <w:widowControl/>
        <w:kinsoku/>
        <w:wordWrap/>
        <w:overflowPunct/>
        <w:topLinePunct w:val="0"/>
        <w:autoSpaceDE/>
        <w:autoSpaceDN/>
        <w:bidi w:val="0"/>
        <w:adjustRightInd/>
        <w:snapToGrid/>
        <w:spacing w:line="140" w:lineRule="exact"/>
        <w:ind w:firstLine="261" w:firstLineChars="200"/>
        <w:jc w:val="both"/>
        <w:textAlignment w:val="auto"/>
        <w:rPr>
          <w:rFonts w:hint="eastAsia" w:ascii="宋体" w:hAnsi="宋体" w:eastAsia="宋体" w:cs="宋体"/>
          <w:b/>
          <w:color w:val="000000"/>
          <w:kern w:val="0"/>
          <w:sz w:val="13"/>
          <w:szCs w:val="13"/>
          <w:highlight w:val="none"/>
        </w:rPr>
      </w:pPr>
      <w:r>
        <w:rPr>
          <w:rFonts w:hint="eastAsia" w:ascii="宋体" w:hAnsi="宋体" w:eastAsia="宋体" w:cs="宋体"/>
          <w:b/>
          <w:bCs/>
          <w:color w:val="000000"/>
          <w:kern w:val="0"/>
          <w:sz w:val="13"/>
          <w:szCs w:val="13"/>
          <w:highlight w:val="none"/>
        </w:rPr>
        <w:t>（五）甲方不得转让、出租、出借其用户与安全工具，或将前述信息提供</w:t>
      </w:r>
      <w:r>
        <w:rPr>
          <w:rFonts w:hint="eastAsia" w:ascii="宋体" w:hAnsi="宋体" w:eastAsia="宋体" w:cs="宋体"/>
          <w:b/>
          <w:color w:val="000000"/>
          <w:kern w:val="0"/>
          <w:sz w:val="13"/>
          <w:szCs w:val="13"/>
          <w:highlight w:val="none"/>
        </w:rPr>
        <w:t>给他人使用，否则由此造成的，非乙方因素导致的一切损失和风险由甲方承担。</w:t>
      </w:r>
    </w:p>
    <w:p>
      <w:pPr>
        <w:keepNext w:val="0"/>
        <w:keepLines w:val="0"/>
        <w:pageBreakBefore w:val="0"/>
        <w:widowControl/>
        <w:kinsoku/>
        <w:wordWrap/>
        <w:overflowPunct/>
        <w:topLinePunct w:val="0"/>
        <w:autoSpaceDE/>
        <w:autoSpaceDN/>
        <w:bidi w:val="0"/>
        <w:adjustRightInd/>
        <w:snapToGrid/>
        <w:spacing w:line="140" w:lineRule="exact"/>
        <w:ind w:firstLine="261" w:firstLineChars="200"/>
        <w:jc w:val="both"/>
        <w:textAlignment w:val="auto"/>
        <w:rPr>
          <w:rFonts w:hint="eastAsia" w:ascii="宋体" w:hAnsi="宋体" w:eastAsia="宋体" w:cs="宋体"/>
          <w:b/>
          <w:color w:val="000000"/>
          <w:kern w:val="0"/>
          <w:sz w:val="13"/>
          <w:szCs w:val="13"/>
          <w:highlight w:val="none"/>
        </w:rPr>
      </w:pPr>
      <w:r>
        <w:rPr>
          <w:rFonts w:hint="eastAsia" w:ascii="宋体" w:hAnsi="宋体" w:eastAsia="宋体" w:cs="宋体"/>
          <w:b/>
          <w:color w:val="000000"/>
          <w:kern w:val="0"/>
          <w:sz w:val="13"/>
          <w:szCs w:val="13"/>
          <w:highlight w:val="none"/>
        </w:rPr>
        <w:t>（六）甲方应合理合法地使用在乙方开立并开通企业/同业金融电子渠道服务业务的账户，确保该账户在服务有效期内的账户状态不为久悬、冻结、注销、过期等异常状态，如有账户状态异常的情况发生，允许乙方直接终止企业/同业金融电子渠道服务而无需事先通知甲方，甲方因此所遭受的一切损失（不论直接或间接导致）</w:t>
      </w:r>
      <w:r>
        <w:rPr>
          <w:rFonts w:hint="eastAsia" w:ascii="宋体" w:hAnsi="宋体" w:eastAsia="宋体" w:cs="宋体"/>
          <w:b/>
          <w:bCs/>
          <w:color w:val="000000"/>
          <w:kern w:val="0"/>
          <w:sz w:val="13"/>
          <w:szCs w:val="13"/>
          <w:highlight w:val="none"/>
        </w:rPr>
        <w:t>由甲方自行承担。</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b/>
          <w:bCs/>
          <w:color w:val="000000"/>
          <w:kern w:val="0"/>
          <w:sz w:val="13"/>
          <w:szCs w:val="13"/>
          <w:highlight w:val="none"/>
        </w:rPr>
      </w:pPr>
      <w:r>
        <w:rPr>
          <w:rFonts w:hint="eastAsia" w:ascii="宋体" w:hAnsi="宋体" w:eastAsia="宋体" w:cs="宋体"/>
          <w:color w:val="000000"/>
          <w:kern w:val="0"/>
          <w:sz w:val="13"/>
          <w:szCs w:val="13"/>
          <w:highlight w:val="none"/>
        </w:rPr>
        <w:t>（七）甲方应按乙方提供的客户使用手册要求正确使用客户证书和安全工具，并对所有使用企业/同业金融电子渠道用户及企业/同业金融电子渠道安全工具进行的操作负责，甲方确认前述操作均符合甲方内部相应授权要求，具体操作人员均具有充分授权。乙方接收并执行甲方发送的任何电子指令后，甲方不得要求变更或撤销。</w:t>
      </w:r>
      <w:r>
        <w:rPr>
          <w:rFonts w:hint="eastAsia" w:ascii="宋体" w:hAnsi="宋体" w:eastAsia="宋体" w:cs="宋体"/>
          <w:b/>
          <w:bCs/>
          <w:color w:val="000000"/>
          <w:kern w:val="0"/>
          <w:sz w:val="13"/>
          <w:szCs w:val="13"/>
          <w:highlight w:val="none"/>
        </w:rPr>
        <w:t>甲方如在企业/同业金融电子渠道上发送与业务无关或损害乙方的信息，由此造成的，非乙方因素导致的一切损失和风险由甲方承担。</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b/>
          <w:bCs/>
          <w:color w:val="000000"/>
          <w:kern w:val="0"/>
          <w:sz w:val="13"/>
          <w:szCs w:val="13"/>
          <w:highlight w:val="none"/>
        </w:rPr>
      </w:pPr>
      <w:r>
        <w:rPr>
          <w:rFonts w:hint="eastAsia" w:ascii="宋体" w:hAnsi="宋体" w:eastAsia="宋体" w:cs="宋体"/>
          <w:color w:val="000000"/>
          <w:kern w:val="0"/>
          <w:sz w:val="13"/>
          <w:szCs w:val="13"/>
          <w:highlight w:val="none"/>
          <w:lang w:eastAsia="zh-CN"/>
        </w:rPr>
        <w:t>（</w:t>
      </w:r>
      <w:r>
        <w:rPr>
          <w:rFonts w:hint="eastAsia" w:ascii="宋体" w:hAnsi="宋体" w:eastAsia="宋体" w:cs="宋体"/>
          <w:color w:val="000000"/>
          <w:kern w:val="0"/>
          <w:sz w:val="13"/>
          <w:szCs w:val="13"/>
          <w:highlight w:val="none"/>
          <w:lang w:val="en-US" w:eastAsia="zh-CN"/>
        </w:rPr>
        <w:t>八</w:t>
      </w:r>
      <w:r>
        <w:rPr>
          <w:rFonts w:hint="eastAsia" w:ascii="宋体" w:hAnsi="宋体" w:eastAsia="宋体" w:cs="宋体"/>
          <w:color w:val="000000"/>
          <w:kern w:val="0"/>
          <w:sz w:val="13"/>
          <w:szCs w:val="13"/>
          <w:highlight w:val="none"/>
          <w:lang w:eastAsia="zh-CN"/>
        </w:rPr>
        <w:t>）</w:t>
      </w:r>
      <w:r>
        <w:rPr>
          <w:rFonts w:hint="eastAsia" w:ascii="宋体" w:hAnsi="宋体" w:eastAsia="宋体" w:cs="宋体"/>
          <w:color w:val="000000"/>
          <w:kern w:val="0"/>
          <w:sz w:val="13"/>
          <w:szCs w:val="13"/>
          <w:highlight w:val="none"/>
        </w:rPr>
        <w:t>甲方应尽到合理注意义务，在安全的环境下使用乙方企业/同业金融电子渠道服务，正确识别乙方官方网站，下载安全认证的APP软件，不访问钓鱼站点，不点击来历不明的链接或图片；对于自设密码，甲方应设置安全性较高的密码，避免使用简单易记的密码或容易被他人猜到的密码；必须指定专人妥善保管和使用企业/同业金融电子渠道用户及安全工具，不得提供给未指定的其他人</w:t>
      </w:r>
      <w:r>
        <w:rPr>
          <w:rFonts w:hint="eastAsia" w:ascii="宋体" w:hAnsi="宋体" w:eastAsia="宋体" w:cs="宋体"/>
          <w:color w:val="000000"/>
          <w:kern w:val="0"/>
          <w:sz w:val="13"/>
          <w:szCs w:val="13"/>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140" w:lineRule="exact"/>
        <w:ind w:firstLine="0" w:firstLineChars="0"/>
        <w:jc w:val="both"/>
        <w:textAlignment w:val="auto"/>
        <w:rPr>
          <w:rFonts w:hint="eastAsia" w:ascii="宋体" w:hAnsi="宋体" w:eastAsia="宋体" w:cs="宋体"/>
          <w:b/>
          <w:bCs/>
          <w:color w:val="000000"/>
          <w:kern w:val="0"/>
          <w:sz w:val="13"/>
          <w:szCs w:val="13"/>
          <w:highlight w:val="none"/>
          <w:lang w:val="en-US"/>
        </w:rPr>
      </w:pPr>
      <w:r>
        <w:rPr>
          <w:rFonts w:hint="eastAsia" w:ascii="宋体" w:hAnsi="宋体" w:eastAsia="宋体" w:cs="宋体"/>
          <w:color w:val="000000"/>
          <w:kern w:val="0"/>
          <w:sz w:val="13"/>
          <w:szCs w:val="13"/>
          <w:highlight w:val="none"/>
          <w:lang w:val="en-US" w:eastAsia="zh-CN"/>
        </w:rPr>
        <w:t xml:space="preserve">    </w:t>
      </w:r>
      <w:r>
        <w:rPr>
          <w:rFonts w:hint="eastAsia" w:ascii="宋体" w:hAnsi="宋体" w:eastAsia="宋体" w:cs="宋体"/>
          <w:color w:val="000000"/>
          <w:kern w:val="0"/>
          <w:sz w:val="13"/>
          <w:szCs w:val="13"/>
          <w:highlight w:val="none"/>
        </w:rPr>
        <w:t>甲方有义务保证所有使用企业/同业金融电子渠道的用户</w:t>
      </w:r>
      <w:r>
        <w:rPr>
          <w:rFonts w:hint="eastAsia" w:ascii="宋体" w:hAnsi="宋体" w:eastAsia="宋体" w:cs="宋体"/>
          <w:color w:val="000000"/>
          <w:kern w:val="0"/>
          <w:sz w:val="13"/>
          <w:szCs w:val="13"/>
          <w:highlight w:val="none"/>
          <w:lang w:val="en-US" w:eastAsia="zh-CN"/>
        </w:rPr>
        <w:t>不涉及未成年人，具有</w:t>
      </w:r>
      <w:r>
        <w:rPr>
          <w:rFonts w:hint="eastAsia" w:ascii="宋体" w:hAnsi="宋体" w:eastAsia="宋体" w:cs="宋体"/>
          <w:color w:val="000000"/>
          <w:kern w:val="0"/>
          <w:sz w:val="13"/>
          <w:szCs w:val="13"/>
          <w:highlight w:val="none"/>
        </w:rPr>
        <w:t>完全民事行为能力。</w:t>
      </w:r>
    </w:p>
    <w:p>
      <w:pPr>
        <w:keepNext w:val="0"/>
        <w:keepLines w:val="0"/>
        <w:pageBreakBefore w:val="0"/>
        <w:widowControl/>
        <w:numPr>
          <w:ilvl w:val="0"/>
          <w:numId w:val="0"/>
        </w:numPr>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b/>
          <w:bCs/>
          <w:color w:val="000000"/>
          <w:kern w:val="0"/>
          <w:sz w:val="13"/>
          <w:szCs w:val="13"/>
          <w:highlight w:val="none"/>
        </w:rPr>
      </w:pPr>
      <w:r>
        <w:rPr>
          <w:rFonts w:hint="eastAsia" w:ascii="宋体" w:hAnsi="宋体" w:eastAsia="宋体" w:cs="宋体"/>
          <w:color w:val="000000"/>
          <w:kern w:val="0"/>
          <w:sz w:val="13"/>
          <w:szCs w:val="13"/>
          <w:highlight w:val="none"/>
          <w:lang w:val="en-US" w:eastAsia="zh-CN"/>
        </w:rPr>
        <w:t>乙方电子渠道用户分为管理员、主管、操作员等多种类别，甲方清晰理解不同用户的权限等级划分，其中</w:t>
      </w:r>
      <w:r>
        <w:rPr>
          <w:rFonts w:hint="eastAsia" w:ascii="宋体" w:hAnsi="宋体" w:eastAsia="宋体" w:cs="宋体"/>
          <w:b/>
          <w:color w:val="000000"/>
          <w:kern w:val="0"/>
          <w:sz w:val="13"/>
          <w:szCs w:val="13"/>
          <w:highlight w:val="none"/>
        </w:rPr>
        <w:t>管理员、主管或其他有管理类录入权限的用户</w:t>
      </w:r>
      <w:r>
        <w:rPr>
          <w:rFonts w:hint="eastAsia" w:ascii="宋体" w:hAnsi="宋体" w:eastAsia="宋体" w:cs="宋体"/>
          <w:b/>
          <w:color w:val="000000"/>
          <w:kern w:val="0"/>
          <w:sz w:val="13"/>
          <w:szCs w:val="13"/>
          <w:highlight w:val="none"/>
          <w:lang w:val="en-US" w:eastAsia="zh-CN"/>
        </w:rPr>
        <w:t>可</w:t>
      </w:r>
      <w:r>
        <w:rPr>
          <w:rFonts w:hint="eastAsia" w:ascii="宋体" w:hAnsi="宋体" w:eastAsia="宋体" w:cs="宋体"/>
          <w:b/>
          <w:color w:val="000000"/>
          <w:kern w:val="0"/>
          <w:sz w:val="13"/>
          <w:szCs w:val="13"/>
          <w:highlight w:val="none"/>
        </w:rPr>
        <w:t>通过乙方企业/同业金融电子渠道办理业务协议签约、服务签约、交易授权、加挂账号、用户管理、用户权限分配、业务规则调整</w:t>
      </w:r>
      <w:r>
        <w:rPr>
          <w:rFonts w:hint="eastAsia" w:ascii="宋体" w:hAnsi="宋体" w:eastAsia="宋体" w:cs="宋体"/>
          <w:b/>
          <w:color w:val="000000"/>
          <w:kern w:val="0"/>
          <w:sz w:val="13"/>
          <w:szCs w:val="13"/>
          <w:highlight w:val="none"/>
          <w:lang w:val="en-US" w:eastAsia="zh-CN"/>
        </w:rPr>
        <w:t>等事项（具体以乙方最新的用户手册内容为准）</w:t>
      </w:r>
      <w:r>
        <w:rPr>
          <w:rFonts w:hint="eastAsia" w:ascii="宋体" w:hAnsi="宋体" w:eastAsia="宋体" w:cs="宋体"/>
          <w:b/>
          <w:color w:val="000000"/>
          <w:kern w:val="0"/>
          <w:sz w:val="13"/>
          <w:szCs w:val="13"/>
          <w:highlight w:val="none"/>
          <w:lang w:eastAsia="zh-CN"/>
        </w:rPr>
        <w:t>，</w:t>
      </w:r>
      <w:r>
        <w:rPr>
          <w:rFonts w:hint="eastAsia" w:ascii="宋体" w:hAnsi="宋体" w:eastAsia="宋体" w:cs="宋体"/>
          <w:color w:val="000000"/>
          <w:kern w:val="0"/>
          <w:sz w:val="13"/>
          <w:szCs w:val="13"/>
          <w:highlight w:val="none"/>
          <w:lang w:val="en-US" w:eastAsia="zh-CN"/>
        </w:rPr>
        <w:t>甲方应建立必要的内部管理制度，对各类用户进行管理，</w:t>
      </w:r>
      <w:r>
        <w:rPr>
          <w:rFonts w:hint="eastAsia" w:ascii="宋体" w:hAnsi="宋体" w:eastAsia="宋体" w:cs="宋体"/>
          <w:color w:val="000000"/>
          <w:kern w:val="0"/>
          <w:sz w:val="13"/>
          <w:szCs w:val="13"/>
          <w:highlight w:val="none"/>
        </w:rPr>
        <w:t>明确使用人员的权限设置，明确各项操作的授权控制，出现岗位调整、人员离职等因素时应及时调整或取消权限，以防范内部风险、保护账户资金安全。</w:t>
      </w:r>
      <w:r>
        <w:rPr>
          <w:rFonts w:hint="eastAsia" w:ascii="宋体" w:hAnsi="宋体" w:eastAsia="宋体" w:cs="宋体"/>
          <w:b/>
          <w:bCs/>
          <w:color w:val="000000"/>
          <w:kern w:val="0"/>
          <w:sz w:val="13"/>
          <w:szCs w:val="13"/>
          <w:highlight w:val="none"/>
        </w:rPr>
        <w:t>未尽合理注意及内部管理义务所产生的一切风险及后果由甲方承担。</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lang w:eastAsia="zh-CN"/>
        </w:rPr>
      </w:pPr>
      <w:r>
        <w:rPr>
          <w:rFonts w:hint="eastAsia" w:ascii="宋体" w:hAnsi="宋体" w:eastAsia="宋体" w:cs="宋体"/>
          <w:color w:val="000000"/>
          <w:kern w:val="0"/>
          <w:sz w:val="13"/>
          <w:szCs w:val="13"/>
          <w:highlight w:val="none"/>
        </w:rPr>
        <w:t>（九）</w:t>
      </w:r>
      <w:r>
        <w:rPr>
          <w:rFonts w:hint="eastAsia" w:ascii="宋体" w:hAnsi="宋体" w:eastAsia="宋体" w:cs="宋体"/>
          <w:b/>
          <w:bCs/>
          <w:color w:val="000000"/>
          <w:kern w:val="0"/>
          <w:sz w:val="13"/>
          <w:szCs w:val="13"/>
          <w:highlight w:val="none"/>
        </w:rPr>
        <w:t>为进一步确认甲方身份，提升甲方使用体验，保障甲方交易、资金安全及合法权益以及履行乙方反洗钱义务、内控管理等需要，甲方同意主动向兴业银行共享，或协助兴业银行收集</w:t>
      </w:r>
      <w:r>
        <w:rPr>
          <w:rFonts w:hint="eastAsia" w:ascii="宋体" w:hAnsi="宋体" w:eastAsia="宋体" w:cs="宋体"/>
          <w:color w:val="000000"/>
          <w:kern w:val="0"/>
          <w:sz w:val="13"/>
          <w:szCs w:val="13"/>
          <w:highlight w:val="none"/>
        </w:rPr>
        <w:t>甲方及甲方用户的</w:t>
      </w:r>
      <w:r>
        <w:rPr>
          <w:rFonts w:hint="eastAsia" w:ascii="宋体" w:hAnsi="宋体" w:eastAsia="宋体" w:cs="宋体"/>
          <w:b/>
          <w:bCs/>
          <w:color w:val="000000"/>
          <w:kern w:val="0"/>
          <w:sz w:val="13"/>
          <w:szCs w:val="13"/>
          <w:highlight w:val="none"/>
        </w:rPr>
        <w:t>个人身份信息（姓名、手机号、身份证号）</w:t>
      </w:r>
      <w:r>
        <w:rPr>
          <w:rFonts w:hint="eastAsia" w:ascii="宋体" w:hAnsi="宋体" w:eastAsia="宋体" w:cs="宋体"/>
          <w:color w:val="000000"/>
          <w:kern w:val="0"/>
          <w:sz w:val="13"/>
          <w:szCs w:val="13"/>
          <w:highlight w:val="none"/>
        </w:rPr>
        <w:t>、</w:t>
      </w:r>
      <w:r>
        <w:rPr>
          <w:rFonts w:hint="eastAsia" w:ascii="宋体" w:hAnsi="宋体" w:eastAsia="宋体" w:cs="宋体"/>
          <w:b/>
          <w:bCs/>
          <w:color w:val="000000"/>
          <w:kern w:val="0"/>
          <w:sz w:val="13"/>
          <w:szCs w:val="13"/>
          <w:highlight w:val="none"/>
        </w:rPr>
        <w:t>操作系统、IP地址、MAC地址、设备信息（型号、CPUID、IMEI、UDID等）、物理位置、行为数据、交易记录</w:t>
      </w:r>
      <w:r>
        <w:rPr>
          <w:rFonts w:hint="eastAsia" w:ascii="宋体" w:hAnsi="宋体" w:eastAsia="宋体" w:cs="宋体"/>
          <w:color w:val="000000"/>
          <w:kern w:val="0"/>
          <w:sz w:val="13"/>
          <w:szCs w:val="13"/>
          <w:highlight w:val="none"/>
        </w:rPr>
        <w:t>以及使用乙方企业/同业金融电子渠道服务的技术性或诊断性等信息</w:t>
      </w:r>
      <w:r>
        <w:rPr>
          <w:rFonts w:hint="eastAsia" w:ascii="宋体" w:hAnsi="宋体" w:eastAsia="宋体" w:cs="宋体"/>
          <w:color w:val="000000"/>
          <w:kern w:val="0"/>
          <w:sz w:val="13"/>
          <w:szCs w:val="13"/>
          <w:highlight w:val="none"/>
          <w:lang w:eastAsia="zh-CN"/>
        </w:rPr>
        <w:t>。</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（十）</w:t>
      </w:r>
      <w:r>
        <w:rPr>
          <w:rFonts w:hint="eastAsia" w:ascii="宋体" w:hAnsi="宋体" w:eastAsia="宋体" w:cs="宋体"/>
          <w:b/>
          <w:bCs/>
          <w:color w:val="000000"/>
          <w:kern w:val="0"/>
          <w:sz w:val="13"/>
          <w:szCs w:val="13"/>
          <w:highlight w:val="none"/>
        </w:rPr>
        <w:t>甲方使用乙方企业/同业金融电子渠道服务，应按照《兴业银行综合服务价目表》和《兴业银行机构服务价目表》所列的项目和标准支付工本费、短信服务费、转账汇款手续费、企业网银/银企直联/同业网银/同业直联年服务费、代发工资等费用，保证账户中保留足够余额，并同意授权乙方从甲方账户主动扣收；如有欠费，</w:t>
      </w:r>
      <w:r>
        <w:rPr>
          <w:rFonts w:hint="eastAsia" w:ascii="宋体" w:hAnsi="宋体" w:eastAsia="宋体" w:cs="宋体"/>
          <w:b/>
          <w:bCs/>
          <w:color w:val="000000"/>
          <w:kern w:val="0"/>
          <w:sz w:val="13"/>
          <w:szCs w:val="13"/>
          <w:highlight w:val="none"/>
          <w:lang w:val="en-US" w:eastAsia="zh-CN"/>
        </w:rPr>
        <w:t>甲方应遵照</w:t>
      </w:r>
      <w:r>
        <w:rPr>
          <w:rFonts w:hint="eastAsia" w:ascii="宋体" w:hAnsi="宋体" w:eastAsia="宋体" w:cs="宋体"/>
          <w:b/>
          <w:bCs/>
          <w:color w:val="000000"/>
          <w:kern w:val="0"/>
          <w:sz w:val="13"/>
          <w:szCs w:val="13"/>
          <w:highlight w:val="none"/>
        </w:rPr>
        <w:t>使用乙方企业/同业金融电子渠道服务</w:t>
      </w:r>
      <w:r>
        <w:rPr>
          <w:rFonts w:hint="eastAsia" w:ascii="宋体" w:hAnsi="宋体" w:eastAsia="宋体" w:cs="宋体"/>
          <w:b/>
          <w:bCs/>
          <w:color w:val="000000"/>
          <w:kern w:val="0"/>
          <w:sz w:val="13"/>
          <w:szCs w:val="13"/>
          <w:highlight w:val="none"/>
          <w:lang w:val="en-US" w:eastAsia="zh-CN"/>
        </w:rPr>
        <w:t>时的收费标准补缴欠费，</w:t>
      </w:r>
      <w:r>
        <w:rPr>
          <w:rFonts w:hint="eastAsia" w:ascii="宋体" w:hAnsi="宋体" w:eastAsia="宋体" w:cs="宋体"/>
          <w:b/>
          <w:bCs/>
          <w:color w:val="000000"/>
          <w:kern w:val="0"/>
          <w:sz w:val="13"/>
          <w:szCs w:val="13"/>
          <w:highlight w:val="none"/>
        </w:rPr>
        <w:t>乙方有权</w:t>
      </w:r>
      <w:r>
        <w:rPr>
          <w:rFonts w:hint="eastAsia" w:ascii="宋体" w:hAnsi="宋体" w:eastAsia="宋体" w:cs="宋体"/>
          <w:b/>
          <w:bCs/>
          <w:color w:val="000000"/>
          <w:kern w:val="0"/>
          <w:sz w:val="13"/>
          <w:szCs w:val="13"/>
          <w:highlight w:val="none"/>
          <w:lang w:val="en-US" w:eastAsia="zh-CN"/>
        </w:rPr>
        <w:t>遵照为甲方提供</w:t>
      </w:r>
      <w:r>
        <w:rPr>
          <w:rFonts w:hint="eastAsia" w:ascii="宋体" w:hAnsi="宋体" w:eastAsia="宋体" w:cs="宋体"/>
          <w:b/>
          <w:bCs/>
          <w:color w:val="000000"/>
          <w:kern w:val="0"/>
          <w:sz w:val="13"/>
          <w:szCs w:val="13"/>
          <w:highlight w:val="none"/>
        </w:rPr>
        <w:t>企业/同业金融电子渠道服务</w:t>
      </w:r>
      <w:r>
        <w:rPr>
          <w:rFonts w:hint="eastAsia" w:ascii="宋体" w:hAnsi="宋体" w:eastAsia="宋体" w:cs="宋体"/>
          <w:b/>
          <w:bCs/>
          <w:color w:val="000000"/>
          <w:kern w:val="0"/>
          <w:sz w:val="13"/>
          <w:szCs w:val="13"/>
          <w:highlight w:val="none"/>
          <w:lang w:val="en-US" w:eastAsia="zh-CN"/>
        </w:rPr>
        <w:t>时的收费标准补收欠费，并保留</w:t>
      </w:r>
      <w:r>
        <w:rPr>
          <w:rFonts w:hint="eastAsia" w:ascii="宋体" w:hAnsi="宋体" w:eastAsia="宋体" w:cs="宋体"/>
          <w:b/>
          <w:bCs/>
          <w:color w:val="000000"/>
          <w:kern w:val="0"/>
          <w:sz w:val="13"/>
          <w:szCs w:val="13"/>
          <w:highlight w:val="none"/>
        </w:rPr>
        <w:t>停止提供相关服务或功能、关停甲方企业/同业金融电子渠道服务，追究甲方违约责任</w:t>
      </w:r>
      <w:r>
        <w:rPr>
          <w:rFonts w:hint="eastAsia" w:ascii="宋体" w:hAnsi="宋体" w:eastAsia="宋体" w:cs="宋体"/>
          <w:b/>
          <w:bCs/>
          <w:color w:val="000000"/>
          <w:kern w:val="0"/>
          <w:sz w:val="13"/>
          <w:szCs w:val="13"/>
          <w:highlight w:val="none"/>
          <w:lang w:eastAsia="zh-CN"/>
        </w:rPr>
        <w:t>的</w:t>
      </w:r>
      <w:r>
        <w:rPr>
          <w:rFonts w:hint="eastAsia" w:ascii="宋体" w:hAnsi="宋体" w:eastAsia="宋体" w:cs="宋体"/>
          <w:b/>
          <w:bCs/>
          <w:color w:val="000000"/>
          <w:kern w:val="0"/>
          <w:sz w:val="13"/>
          <w:szCs w:val="13"/>
          <w:highlight w:val="none"/>
          <w:lang w:val="en-US" w:eastAsia="zh-CN"/>
        </w:rPr>
        <w:t>权利</w:t>
      </w:r>
      <w:r>
        <w:rPr>
          <w:rFonts w:hint="eastAsia" w:ascii="宋体" w:hAnsi="宋体" w:eastAsia="宋体" w:cs="宋体"/>
          <w:b/>
          <w:bCs/>
          <w:color w:val="000000"/>
          <w:kern w:val="0"/>
          <w:sz w:val="13"/>
          <w:szCs w:val="13"/>
          <w:highlight w:val="none"/>
        </w:rPr>
        <w:t>。同意乙方根据《商业银行服务价格管理办法》规定，在按照</w:t>
      </w:r>
      <w:r>
        <w:rPr>
          <w:rFonts w:hint="eastAsia" w:ascii="宋体" w:hAnsi="宋体" w:eastAsia="宋体" w:cs="宋体"/>
          <w:b/>
          <w:color w:val="000000"/>
          <w:kern w:val="0"/>
          <w:sz w:val="13"/>
          <w:szCs w:val="13"/>
          <w:highlight w:val="none"/>
        </w:rPr>
        <w:t>法定或监管规定</w:t>
      </w:r>
      <w:r>
        <w:rPr>
          <w:rFonts w:hint="eastAsia" w:ascii="宋体" w:hAnsi="宋体" w:eastAsia="宋体" w:cs="宋体"/>
          <w:b/>
          <w:color w:val="000000"/>
          <w:kern w:val="0"/>
          <w:sz w:val="13"/>
          <w:szCs w:val="13"/>
          <w:highlight w:val="none"/>
          <w:lang w:val="en-US" w:eastAsia="zh-CN"/>
        </w:rPr>
        <w:t>下</w:t>
      </w:r>
      <w:r>
        <w:rPr>
          <w:rFonts w:hint="eastAsia" w:ascii="宋体" w:hAnsi="宋体" w:eastAsia="宋体" w:cs="宋体"/>
          <w:b/>
          <w:bCs/>
          <w:color w:val="000000"/>
          <w:kern w:val="0"/>
          <w:sz w:val="13"/>
          <w:szCs w:val="13"/>
          <w:highlight w:val="none"/>
        </w:rPr>
        <w:t>有关信息披露或告知的及时性要求进行事先公告的前提下调整收费项目和收费标准。</w:t>
      </w:r>
      <w:r>
        <w:rPr>
          <w:rFonts w:hint="eastAsia" w:ascii="宋体" w:hAnsi="宋体" w:eastAsia="宋体" w:cs="宋体"/>
          <w:color w:val="000000"/>
          <w:kern w:val="0"/>
          <w:sz w:val="13"/>
          <w:szCs w:val="13"/>
          <w:highlight w:val="none"/>
        </w:rPr>
        <w:t>甲方自行负担使用乙方企业/同业金融电子渠道服务而发生的网络、通信等费用。</w:t>
      </w:r>
      <w:r>
        <w:rPr>
          <w:rFonts w:hint="eastAsia" w:ascii="宋体" w:hAnsi="宋体" w:eastAsia="宋体" w:cs="宋体"/>
          <w:b/>
          <w:bCs/>
          <w:color w:val="000000"/>
          <w:kern w:val="0"/>
          <w:sz w:val="13"/>
          <w:szCs w:val="13"/>
          <w:highlight w:val="none"/>
        </w:rPr>
        <w:t>甲方不得以与第三方发生纠纷为理由拒绝支付应付乙方的款项。</w:t>
      </w:r>
    </w:p>
    <w:p>
      <w:pPr>
        <w:keepNext w:val="0"/>
        <w:keepLines w:val="0"/>
        <w:pageBreakBefore w:val="0"/>
        <w:widowControl/>
        <w:kinsoku/>
        <w:wordWrap/>
        <w:overflowPunct/>
        <w:topLinePunct w:val="0"/>
        <w:autoSpaceDE/>
        <w:autoSpaceDN/>
        <w:bidi w:val="0"/>
        <w:adjustRightInd/>
        <w:snapToGrid/>
        <w:spacing w:line="140" w:lineRule="exact"/>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　　（十一）甲方应保证办理电子支付业务账户的支付能力，并严格遵守支付结算业务的相关法律法规。甲方不得通过乙方企业/同业金融电子渠道服务从事非法或违规交易，发送与交易无关的、违法的或破坏性的程序或信息，攻击乙方系统或干扰系统正常运行，诋毁、损害乙方声誉等。</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b/>
          <w:bCs/>
          <w:color w:val="000000"/>
          <w:kern w:val="0"/>
          <w:sz w:val="13"/>
          <w:szCs w:val="13"/>
          <w:highlight w:val="none"/>
        </w:rPr>
      </w:pPr>
      <w:r>
        <w:rPr>
          <w:rFonts w:hint="eastAsia" w:ascii="宋体" w:hAnsi="宋体" w:eastAsia="宋体" w:cs="宋体"/>
          <w:color w:val="000000"/>
          <w:kern w:val="0"/>
          <w:sz w:val="13"/>
          <w:szCs w:val="13"/>
          <w:highlight w:val="none"/>
        </w:rPr>
        <w:t>（十二）甲方对于其所使用的相关软件的合法性承担责任。尊重乙方企业/同业金融电子渠道服务知识产权是甲方应尽的义务，甲方不得将乙方提供的接口、技术方案等资料转让给任何第三方，不得进行任何形式的复制、改编、编译或衍生开发或许可他人使用，包括但不限于：将系统中有关本协议下的业务实现方式、业务流程规则、技术实现方法等以任何方式用于任何第三方系统的设计及开发中。</w:t>
      </w:r>
      <w:r>
        <w:rPr>
          <w:rFonts w:hint="eastAsia" w:ascii="宋体" w:hAnsi="宋体" w:eastAsia="宋体" w:cs="宋体"/>
          <w:b/>
          <w:bCs/>
          <w:color w:val="000000"/>
          <w:kern w:val="0"/>
          <w:sz w:val="13"/>
          <w:szCs w:val="13"/>
          <w:highlight w:val="none"/>
        </w:rPr>
        <w:t>如有违反，甲方应承担包括损害赔偿等在内的相应责任。</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（十三）甲方办理企业/同业金融电子渠道业务时，如其使用的服务功能涉及到乙方其他业务规定或规则的需同时遵守。</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 xml:space="preserve">（十四）甲方承诺其经营行为或所从事的交易符合中国监管政策及法律法规的要求，不涉及洗钱、欺诈、恐怖活动、逃税等非法行为，不涉及大规模杀伤性武器及扩散活动，不存在违反中国、联合国等关于反洗钱、反欺诈、反恐怖融资等相关规定的情形，交易相关各方及其所在国家/地区均不是中国、联合国等所制裁的法人、个人或国家/地区 </w:t>
      </w:r>
      <w:bookmarkStart w:id="5" w:name="_GoBack"/>
      <w:bookmarkEnd w:id="5"/>
      <w:r>
        <w:rPr>
          <w:rFonts w:hint="eastAsia" w:ascii="宋体" w:hAnsi="宋体" w:eastAsia="宋体" w:cs="宋体"/>
          <w:color w:val="000000"/>
          <w:kern w:val="0"/>
          <w:sz w:val="13"/>
          <w:szCs w:val="13"/>
          <w:highlight w:val="none"/>
        </w:rPr>
        <w:t>。</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 xml:space="preserve">（十五）甲方系统应按照乙方提供的银企/同业直联接口规范，开发完备的对账机制，建立健全对账制度，以确保双方账户关系清晰、资金安全。甲方应定期与乙方核对账目，如有异议，应立即提出并协助乙方复核。 </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十六）为保障乙方系统不至于受到攻击性查询破坏，甲方系统设计通过银企/同业直联方式进行自动查询的功能，其每笔查询时间间隔原则上不少于15分钟，经乙方确认因业务特殊性要求缩短间隔时间的，应不少于1分钟。</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十七）甲方知悉委托第三方实施银企直联对接或者使用第三方系统服务商平台时，在开发上线及使用过程中会存在数据和客户证书等安全工具泄露的风险，甲方应自行采取相应的风险控制措施，包括但不限于与第三方开发人员、第三方系统服务商平台签署保密协议及证书托管协议等，以确保数据和证书的安全，否则由此产生的后果由甲方承担。</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（十八）甲方知晓并确认应按照乙方规定的接口规范、数据格式等技术标准建立与乙方银企/同业直联系统的安全连接。</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十九）甲方知晓并确认甲方负责甲方使用的自行开发或委托开发的财务软件系统、资金管理系统、供应链管理系统、仓储管理系统、第三系统服务商平台等系统的安全，知悉系统应有必要的权限设置和控制手段，在系统的业务流程控制中应坚持换人复核的原则。</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二十）甲方知晓并确保不会修改和跟踪乙方提供的银企/同业直联系统，同时确保在安全环境中使用银企/同业直联系统，必须使用专用电脑，避免存在病毒、木马等危害性的程序，并保证所使用的各类系统中不存在“后门”“程序炸弹”“数据盗窃”等威胁乙方和其他客户安全的隐含功能。</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（二十一）甲方同意并授权乙方利用图像处理技术将通过客户证书产生的电子签名转化为与纸质文件盖章操作相同的可视效果。</w:t>
      </w:r>
    </w:p>
    <w:p>
      <w:pPr>
        <w:keepNext w:val="0"/>
        <w:keepLines w:val="0"/>
        <w:pageBreakBefore w:val="0"/>
        <w:widowControl/>
        <w:kinsoku/>
        <w:wordWrap/>
        <w:overflowPunct/>
        <w:topLinePunct w:val="0"/>
        <w:autoSpaceDE/>
        <w:autoSpaceDN/>
        <w:bidi w:val="0"/>
        <w:adjustRightInd/>
        <w:snapToGrid/>
        <w:spacing w:line="140" w:lineRule="exact"/>
        <w:jc w:val="center"/>
        <w:textAlignment w:val="auto"/>
        <w:outlineLvl w:val="0"/>
        <w:rPr>
          <w:rFonts w:hint="eastAsia" w:ascii="宋体" w:hAnsi="宋体" w:eastAsia="宋体" w:cs="宋体"/>
          <w:b/>
          <w:color w:val="000000"/>
          <w:kern w:val="0"/>
          <w:sz w:val="13"/>
          <w:szCs w:val="13"/>
          <w:highlight w:val="none"/>
        </w:rPr>
      </w:pPr>
      <w:r>
        <w:rPr>
          <w:rFonts w:hint="eastAsia" w:ascii="宋体" w:hAnsi="宋体" w:eastAsia="宋体" w:cs="宋体"/>
          <w:b/>
          <w:color w:val="000000"/>
          <w:kern w:val="0"/>
          <w:sz w:val="13"/>
          <w:szCs w:val="13"/>
          <w:highlight w:val="none"/>
        </w:rPr>
        <w:t>第四条 乙方权利和义务</w:t>
      </w:r>
    </w:p>
    <w:p>
      <w:pPr>
        <w:keepNext w:val="0"/>
        <w:keepLines w:val="0"/>
        <w:pageBreakBefore w:val="0"/>
        <w:widowControl/>
        <w:kinsoku/>
        <w:wordWrap/>
        <w:overflowPunct/>
        <w:topLinePunct w:val="0"/>
        <w:autoSpaceDE/>
        <w:autoSpaceDN/>
        <w:bidi w:val="0"/>
        <w:adjustRightInd/>
        <w:snapToGrid/>
        <w:spacing w:line="140" w:lineRule="exact"/>
        <w:ind w:firstLine="261" w:firstLineChars="200"/>
        <w:jc w:val="both"/>
        <w:textAlignment w:val="auto"/>
        <w:outlineLvl w:val="1"/>
        <w:rPr>
          <w:rFonts w:hint="eastAsia" w:ascii="宋体" w:hAnsi="宋体" w:eastAsia="宋体" w:cs="宋体"/>
          <w:b/>
          <w:kern w:val="0"/>
          <w:sz w:val="13"/>
          <w:szCs w:val="13"/>
          <w:highlight w:val="none"/>
        </w:rPr>
      </w:pPr>
      <w:r>
        <w:rPr>
          <w:rFonts w:hint="eastAsia" w:ascii="宋体" w:hAnsi="宋体" w:eastAsia="宋体" w:cs="宋体"/>
          <w:b/>
          <w:kern w:val="0"/>
          <w:sz w:val="13"/>
          <w:szCs w:val="13"/>
          <w:highlight w:val="none"/>
        </w:rPr>
        <w:t>一、主要权利</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（一）乙方有权根据甲方资信情况，决定是否受理甲方开通企业/同业金融电子渠道各操作端、服务的申请，审核并决定甲方开通业务功能范围及交易限额阀值，帮助甲方办理客户证书的申请。</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b/>
          <w:bCs/>
          <w:color w:val="000000"/>
          <w:kern w:val="0"/>
          <w:sz w:val="13"/>
          <w:szCs w:val="13"/>
          <w:highlight w:val="none"/>
        </w:rPr>
      </w:pPr>
      <w:r>
        <w:rPr>
          <w:rFonts w:hint="eastAsia" w:ascii="宋体" w:hAnsi="宋体" w:eastAsia="宋体" w:cs="宋体"/>
          <w:color w:val="000000"/>
          <w:kern w:val="0"/>
          <w:sz w:val="13"/>
          <w:szCs w:val="13"/>
          <w:highlight w:val="none"/>
        </w:rPr>
        <w:t>（二）乙方有权依据法律、法规、监管及安全保障、优化服务等需要，对企业/同业金融电子渠道系统或服务（包括但不限于系统功能、服务内容、操作流程或收费标准等）进行动态调整，并在按照</w:t>
      </w:r>
      <w:r>
        <w:rPr>
          <w:rFonts w:hint="eastAsia" w:ascii="宋体" w:hAnsi="宋体" w:eastAsia="宋体" w:cs="宋体"/>
          <w:b/>
          <w:color w:val="000000"/>
          <w:kern w:val="0"/>
          <w:sz w:val="13"/>
          <w:szCs w:val="13"/>
          <w:highlight w:val="none"/>
        </w:rPr>
        <w:t>法定或监管规定</w:t>
      </w:r>
      <w:r>
        <w:rPr>
          <w:rFonts w:hint="eastAsia" w:ascii="宋体" w:hAnsi="宋体" w:eastAsia="宋体" w:cs="宋体"/>
          <w:b/>
          <w:color w:val="000000"/>
          <w:kern w:val="0"/>
          <w:sz w:val="13"/>
          <w:szCs w:val="13"/>
          <w:highlight w:val="none"/>
          <w:lang w:val="en-US" w:eastAsia="zh-CN"/>
        </w:rPr>
        <w:t>下</w:t>
      </w:r>
      <w:r>
        <w:rPr>
          <w:rFonts w:hint="eastAsia" w:ascii="宋体" w:hAnsi="宋体" w:eastAsia="宋体" w:cs="宋体"/>
          <w:color w:val="000000"/>
          <w:kern w:val="0"/>
          <w:sz w:val="13"/>
          <w:szCs w:val="13"/>
          <w:highlight w:val="none"/>
        </w:rPr>
        <w:t>有关信息披露或告知的及时性要求进行正式对外公告/发布（在网站、APP或营业网点）或其他合理方式通知甲方后施行，公告/发布或通知内容构成对本协议的有效修改和补充。</w:t>
      </w:r>
      <w:r>
        <w:rPr>
          <w:rFonts w:hint="eastAsia" w:ascii="宋体" w:hAnsi="宋体" w:eastAsia="宋体" w:cs="宋体"/>
          <w:b/>
          <w:bCs/>
          <w:color w:val="000000"/>
          <w:kern w:val="0"/>
          <w:sz w:val="13"/>
          <w:szCs w:val="13"/>
          <w:highlight w:val="none"/>
        </w:rPr>
        <w:t>如果甲方不同意接受乙方的调整内容，调整之日起180天内甲方有权向乙方申请终止企业/同业金融电子渠道服务，但在申请终止企业/同业金融电子渠道服务之前甲方使用乙方企业/同业金融电子渠道服务的，仍然应当遵守相关调整内容；逾期甲方既不申请终止服务，又不遵守乙方调整内容的，乙方有权选择终止本协议。</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b/>
          <w:bCs/>
          <w:color w:val="000000"/>
          <w:kern w:val="0"/>
          <w:sz w:val="13"/>
          <w:szCs w:val="13"/>
          <w:highlight w:val="none"/>
        </w:rPr>
      </w:pPr>
      <w:r>
        <w:rPr>
          <w:rFonts w:hint="eastAsia" w:ascii="宋体" w:hAnsi="宋体" w:eastAsia="宋体" w:cs="宋体"/>
          <w:color w:val="000000"/>
          <w:kern w:val="0"/>
          <w:sz w:val="13"/>
          <w:szCs w:val="13"/>
          <w:highlight w:val="none"/>
        </w:rPr>
        <w:t>（三）乙方有权在严格保护甲方用户隐私信息的前提下，处理甲方及其内部使用用户的部分个人信息、操作系统、IP地址、MAC地址、设备信息（型号、CPUID、IMEI、UDID等）、物理位置、行为数据、交易记录以及使用乙方企业/同业金融电子渠道服务的技术性或诊断性等信息，</w:t>
      </w:r>
      <w:r>
        <w:rPr>
          <w:rFonts w:hint="eastAsia" w:ascii="宋体" w:hAnsi="宋体" w:eastAsia="宋体" w:cs="宋体"/>
          <w:b/>
          <w:bCs/>
          <w:color w:val="000000"/>
          <w:kern w:val="0"/>
          <w:sz w:val="13"/>
          <w:szCs w:val="13"/>
          <w:highlight w:val="none"/>
        </w:rPr>
        <w:t>以进一步确认甲方身份，保证甲方正常使用功能，保障甲方交易安全及合法权益</w:t>
      </w:r>
      <w:r>
        <w:rPr>
          <w:rFonts w:hint="eastAsia" w:ascii="宋体" w:hAnsi="宋体" w:eastAsia="宋体" w:cs="宋体"/>
          <w:color w:val="000000"/>
          <w:kern w:val="0"/>
          <w:sz w:val="13"/>
          <w:szCs w:val="13"/>
          <w:highlight w:val="none"/>
        </w:rPr>
        <w:t>；</w:t>
      </w:r>
      <w:r>
        <w:rPr>
          <w:rFonts w:hint="eastAsia" w:ascii="宋体" w:hAnsi="宋体" w:eastAsia="宋体" w:cs="宋体"/>
          <w:b/>
          <w:bCs/>
          <w:color w:val="000000"/>
          <w:kern w:val="0"/>
          <w:sz w:val="13"/>
          <w:szCs w:val="13"/>
          <w:highlight w:val="none"/>
        </w:rPr>
        <w:t>基于资金安全、反洗钱管理等需要，对甲方开通业务功能范围及交易限额阀值单方面进行动态调整。</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四）乙方企业/同业金融电子渠道服务的所有内容，包括但不限于图片、档案、资讯、资料、IT架构、应用画面的安排、网页设计等，属于乙方的商业秘密，乙方依法对其享有包括但不限于商标权、专利权、著作权等知识产权。非经乙方书面同意，任何人不得擅自使用、修改、复制、公开传播、改变、散布、发行或公开发表乙方企业/同业金融电子渠道服务程序或内容。</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（五）甲方存在违反本协议，或存在未按时支付有关费用、提供信息不真实、不遵守乙方有关业务规定、恶意操作、诋毁、损害乙方声誉等情形的，从事、参与或涉入违法活动或受到合理质疑的，被</w:t>
      </w:r>
      <w:r>
        <w:rPr>
          <w:rFonts w:hint="eastAsia" w:ascii="宋体" w:hAnsi="宋体" w:eastAsia="宋体" w:cs="宋体"/>
          <w:color w:val="000000"/>
          <w:kern w:val="0"/>
          <w:sz w:val="13"/>
          <w:szCs w:val="13"/>
          <w:highlight w:val="none"/>
          <w:lang w:val="en-US" w:eastAsia="zh-CN"/>
        </w:rPr>
        <w:t>乙方发现</w:t>
      </w:r>
      <w:r>
        <w:rPr>
          <w:rFonts w:hint="eastAsia" w:ascii="宋体" w:hAnsi="宋体" w:eastAsia="宋体" w:cs="宋体"/>
          <w:color w:val="000000"/>
          <w:kern w:val="0"/>
          <w:sz w:val="13"/>
          <w:szCs w:val="13"/>
          <w:highlight w:val="none"/>
        </w:rPr>
        <w:t>撤并、解散、宣告破产或关闭，注销或者被吊销营业执照等异常情形</w:t>
      </w:r>
      <w:r>
        <w:rPr>
          <w:rFonts w:hint="eastAsia" w:ascii="宋体" w:hAnsi="宋体" w:eastAsia="宋体" w:cs="宋体"/>
          <w:color w:val="000000"/>
          <w:kern w:val="0"/>
          <w:sz w:val="13"/>
          <w:szCs w:val="13"/>
          <w:highlight w:val="none"/>
          <w:lang w:eastAsia="zh-CN"/>
        </w:rPr>
        <w:t>的，</w:t>
      </w:r>
      <w:r>
        <w:rPr>
          <w:rFonts w:hint="eastAsia" w:ascii="宋体" w:hAnsi="宋体" w:eastAsia="宋体" w:cs="宋体"/>
          <w:color w:val="000000"/>
          <w:kern w:val="0"/>
          <w:sz w:val="13"/>
          <w:szCs w:val="13"/>
          <w:highlight w:val="none"/>
        </w:rPr>
        <w:t>乙方有权单方部分或全面终止对甲方提供企业/同业金融电子渠道服务，并保留追究甲方责</w:t>
      </w:r>
      <w:r>
        <w:rPr>
          <w:rFonts w:hint="eastAsia" w:ascii="宋体" w:hAnsi="宋体" w:eastAsia="宋体" w:cs="宋体"/>
          <w:kern w:val="0"/>
          <w:sz w:val="13"/>
          <w:szCs w:val="13"/>
          <w:highlight w:val="none"/>
        </w:rPr>
        <w:t>任的权利</w:t>
      </w:r>
      <w:r>
        <w:rPr>
          <w:rFonts w:hint="eastAsia" w:ascii="宋体" w:hAnsi="宋体" w:eastAsia="宋体" w:cs="宋体"/>
          <w:color w:val="000000"/>
          <w:kern w:val="0"/>
          <w:sz w:val="13"/>
          <w:szCs w:val="13"/>
          <w:highlight w:val="none"/>
        </w:rPr>
        <w:t>。</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b/>
          <w:bCs/>
          <w:color w:val="000000"/>
          <w:kern w:val="0"/>
          <w:sz w:val="13"/>
          <w:szCs w:val="13"/>
          <w:highlight w:val="none"/>
        </w:rPr>
      </w:pPr>
      <w:r>
        <w:rPr>
          <w:rFonts w:hint="eastAsia" w:ascii="宋体" w:hAnsi="宋体" w:eastAsia="宋体" w:cs="宋体"/>
          <w:color w:val="000000"/>
          <w:kern w:val="0"/>
          <w:sz w:val="13"/>
          <w:szCs w:val="13"/>
          <w:highlight w:val="none"/>
        </w:rPr>
        <w:t>（六）甲方可根据需要对企业/同业金融电子渠道中部分业务限额 (包括但不限于: 对公转账单笔限额/日限额/年限额、对私转账单笔限额/日限额/年限额、日限笔数和代发工资限额等) 进行设置, 甲方所设定额度应受监管机构以及乙方企业/同业金融电子渠道业务管理规则的制约。如甲方未作额度设置，则代表甲方默认同意适用乙方单方面确定的限额，同时乙方有权根据监管要求或兴业银行企业/同业金融电子渠道相关管理要求随时设定或调整企业/同业金融电子渠道服务的相应业务限额。甲方办理业务的金额将受前述额度的限制。</w:t>
      </w:r>
      <w:r>
        <w:rPr>
          <w:rFonts w:hint="eastAsia" w:ascii="宋体" w:hAnsi="宋体" w:eastAsia="宋体" w:cs="宋体"/>
          <w:b/>
          <w:bCs/>
          <w:color w:val="000000"/>
          <w:kern w:val="0"/>
          <w:sz w:val="13"/>
          <w:szCs w:val="13"/>
          <w:highlight w:val="none"/>
          <w:lang w:val="en-US" w:eastAsia="zh-CN"/>
        </w:rPr>
        <w:t>乙方已在对应的业务协议、申请表单、公示的客户使用手册中对限额控制进行了必要的说明，甲方在做限额设置前，可要求乙方对</w:t>
      </w:r>
      <w:r>
        <w:rPr>
          <w:rFonts w:hint="eastAsia" w:ascii="宋体" w:hAnsi="宋体" w:eastAsia="宋体" w:cs="宋体"/>
          <w:b/>
          <w:bCs/>
          <w:color w:val="000000"/>
          <w:kern w:val="0"/>
          <w:sz w:val="13"/>
          <w:szCs w:val="13"/>
          <w:highlight w:val="none"/>
        </w:rPr>
        <w:t>限额的设定方式、范围、</w:t>
      </w:r>
      <w:r>
        <w:rPr>
          <w:rFonts w:hint="eastAsia" w:ascii="宋体" w:hAnsi="宋体" w:eastAsia="宋体" w:cs="宋体"/>
          <w:b/>
          <w:bCs/>
          <w:color w:val="000000"/>
          <w:kern w:val="0"/>
          <w:sz w:val="13"/>
          <w:szCs w:val="13"/>
          <w:highlight w:val="none"/>
          <w:lang w:val="en-US" w:eastAsia="zh-CN"/>
        </w:rPr>
        <w:t>设定</w:t>
      </w:r>
      <w:r>
        <w:rPr>
          <w:rFonts w:hint="eastAsia" w:ascii="宋体" w:hAnsi="宋体" w:eastAsia="宋体" w:cs="宋体"/>
          <w:b/>
          <w:bCs/>
          <w:color w:val="000000"/>
          <w:kern w:val="0"/>
          <w:sz w:val="13"/>
          <w:szCs w:val="13"/>
          <w:highlight w:val="none"/>
        </w:rPr>
        <w:t>要求</w:t>
      </w:r>
      <w:r>
        <w:rPr>
          <w:rFonts w:hint="eastAsia" w:ascii="宋体" w:hAnsi="宋体" w:eastAsia="宋体" w:cs="宋体"/>
          <w:b/>
          <w:bCs/>
          <w:color w:val="000000"/>
          <w:kern w:val="0"/>
          <w:sz w:val="13"/>
          <w:szCs w:val="13"/>
          <w:highlight w:val="none"/>
          <w:lang w:eastAsia="zh-CN"/>
        </w:rPr>
        <w:t>、</w:t>
      </w:r>
      <w:r>
        <w:rPr>
          <w:rFonts w:hint="eastAsia" w:ascii="宋体" w:hAnsi="宋体" w:eastAsia="宋体" w:cs="宋体"/>
          <w:b/>
          <w:bCs/>
          <w:color w:val="000000"/>
          <w:kern w:val="0"/>
          <w:sz w:val="13"/>
          <w:szCs w:val="13"/>
          <w:highlight w:val="none"/>
          <w:lang w:val="en-US" w:eastAsia="zh-CN"/>
        </w:rPr>
        <w:t>不同类型业务限额之间的关系向甲方进行解释，一旦甲方使用该功能，即代表其充分了解并认可乙方企业/同业金融电子渠道限额控制逻辑和可实现的控制目标</w:t>
      </w:r>
      <w:r>
        <w:rPr>
          <w:rFonts w:hint="eastAsia" w:ascii="宋体" w:hAnsi="宋体" w:eastAsia="宋体" w:cs="宋体"/>
          <w:b/>
          <w:bCs/>
          <w:color w:val="000000"/>
          <w:kern w:val="0"/>
          <w:sz w:val="13"/>
          <w:szCs w:val="13"/>
          <w:highlight w:val="none"/>
        </w:rPr>
        <w:t>。</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（七）</w:t>
      </w:r>
      <w:r>
        <w:rPr>
          <w:rFonts w:hint="eastAsia" w:ascii="宋体" w:hAnsi="宋体" w:eastAsia="宋体" w:cs="宋体"/>
          <w:b/>
          <w:bCs/>
          <w:color w:val="000000"/>
          <w:kern w:val="0"/>
          <w:sz w:val="13"/>
          <w:szCs w:val="13"/>
          <w:highlight w:val="none"/>
        </w:rPr>
        <w:t>乙方根据甲方的</w:t>
      </w:r>
      <w:bookmarkStart w:id="3" w:name="_Hlk118985167"/>
      <w:r>
        <w:rPr>
          <w:rFonts w:hint="eastAsia" w:ascii="宋体" w:hAnsi="宋体" w:eastAsia="宋体" w:cs="宋体"/>
          <w:b/>
          <w:bCs/>
          <w:color w:val="000000"/>
          <w:kern w:val="0"/>
          <w:sz w:val="13"/>
          <w:szCs w:val="13"/>
          <w:highlight w:val="none"/>
        </w:rPr>
        <w:t>企业/同业金融电子渠道</w:t>
      </w:r>
      <w:bookmarkEnd w:id="3"/>
      <w:r>
        <w:rPr>
          <w:rFonts w:hint="eastAsia" w:ascii="宋体" w:hAnsi="宋体" w:eastAsia="宋体" w:cs="宋体"/>
          <w:b/>
          <w:bCs/>
          <w:color w:val="000000"/>
          <w:kern w:val="0"/>
          <w:sz w:val="13"/>
          <w:szCs w:val="13"/>
          <w:highlight w:val="none"/>
        </w:rPr>
        <w:t>业务指令办理业务，为甲方办理转账等业务的时间以乙方在企业/同业金融电子渠道系统中处理的时间为准；除非有可靠、确定的相反证据，乙方系统记载内容可为甲乙双方之间权利义务关系的确定证据，甲方不能仅因乙方单方制作或保留而提出异议。对所有使用甲方用户名、安全工具进行的操作均视为甲方所为，由此产生的电子信息记录均作为处理企业/同业金融电子渠道业务的有效凭据，甲方不得以受到欺诈、第三方侵权、员工违反甲方内部规定等为由而否认相关操作或交易。</w:t>
      </w:r>
    </w:p>
    <w:p>
      <w:pPr>
        <w:keepNext w:val="0"/>
        <w:keepLines w:val="0"/>
        <w:pageBreakBefore w:val="0"/>
        <w:widowControl/>
        <w:kinsoku/>
        <w:wordWrap/>
        <w:overflowPunct/>
        <w:topLinePunct w:val="0"/>
        <w:autoSpaceDE/>
        <w:autoSpaceDN/>
        <w:bidi w:val="0"/>
        <w:adjustRightInd/>
        <w:snapToGrid/>
        <w:spacing w:line="140" w:lineRule="exact"/>
        <w:ind w:firstLine="488"/>
        <w:jc w:val="both"/>
        <w:textAlignment w:val="auto"/>
        <w:rPr>
          <w:rFonts w:hint="eastAsia" w:ascii="宋体" w:hAnsi="宋体" w:eastAsia="宋体" w:cs="宋体"/>
          <w:b/>
          <w:bCs/>
          <w:kern w:val="0"/>
          <w:sz w:val="13"/>
          <w:szCs w:val="13"/>
          <w:highlight w:val="none"/>
        </w:rPr>
      </w:pPr>
      <w:r>
        <w:rPr>
          <w:rFonts w:hint="eastAsia" w:ascii="宋体" w:hAnsi="宋体" w:eastAsia="宋体" w:cs="宋体"/>
          <w:b/>
          <w:bCs/>
          <w:kern w:val="0"/>
          <w:sz w:val="13"/>
          <w:szCs w:val="13"/>
          <w:highlight w:val="none"/>
        </w:rPr>
        <w:t>乙方因以下情况没有执行甲方业务指令的，乙方不承担任何责任，但将以适当方式通知甲方并采取必要补救措施：</w:t>
      </w:r>
    </w:p>
    <w:p>
      <w:pPr>
        <w:keepNext w:val="0"/>
        <w:keepLines w:val="0"/>
        <w:pageBreakBefore w:val="0"/>
        <w:widowControl/>
        <w:kinsoku/>
        <w:wordWrap/>
        <w:overflowPunct/>
        <w:topLinePunct w:val="0"/>
        <w:autoSpaceDE/>
        <w:autoSpaceDN/>
        <w:bidi w:val="0"/>
        <w:adjustRightInd/>
        <w:snapToGrid/>
        <w:spacing w:line="140" w:lineRule="exact"/>
        <w:ind w:firstLine="488"/>
        <w:jc w:val="both"/>
        <w:textAlignment w:val="auto"/>
        <w:rPr>
          <w:rFonts w:hint="eastAsia" w:ascii="宋体" w:hAnsi="宋体" w:eastAsia="宋体" w:cs="宋体"/>
          <w:b/>
          <w:bCs/>
          <w:color w:val="000000"/>
          <w:kern w:val="0"/>
          <w:sz w:val="13"/>
          <w:szCs w:val="13"/>
          <w:highlight w:val="none"/>
        </w:rPr>
      </w:pPr>
      <w:r>
        <w:rPr>
          <w:rFonts w:hint="eastAsia" w:ascii="宋体" w:hAnsi="宋体" w:eastAsia="宋体" w:cs="宋体"/>
          <w:b/>
          <w:bCs/>
          <w:color w:val="000000"/>
          <w:kern w:val="0"/>
          <w:sz w:val="13"/>
          <w:szCs w:val="13"/>
          <w:highlight w:val="none"/>
        </w:rPr>
        <w:t>1</w:t>
      </w:r>
      <w:r>
        <w:rPr>
          <w:rFonts w:hint="eastAsia" w:ascii="宋体" w:hAnsi="宋体" w:eastAsia="宋体" w:cs="宋体"/>
          <w:b/>
          <w:bCs/>
          <w:color w:val="000000"/>
          <w:kern w:val="0"/>
          <w:sz w:val="13"/>
          <w:szCs w:val="13"/>
          <w:highlight w:val="none"/>
          <w:lang w:val="en-US" w:eastAsia="zh-CN"/>
        </w:rPr>
        <w:t>.</w:t>
      </w:r>
      <w:r>
        <w:rPr>
          <w:rFonts w:hint="eastAsia" w:ascii="宋体" w:hAnsi="宋体" w:eastAsia="宋体" w:cs="宋体"/>
          <w:b/>
          <w:bCs/>
          <w:color w:val="000000"/>
          <w:kern w:val="0"/>
          <w:sz w:val="13"/>
          <w:szCs w:val="13"/>
          <w:highlight w:val="none"/>
        </w:rPr>
        <w:t>乙方接受到的电子支付指令缺乏必要的交易信息或交易信息出错及乱码等；</w:t>
      </w:r>
    </w:p>
    <w:p>
      <w:pPr>
        <w:keepNext w:val="0"/>
        <w:keepLines w:val="0"/>
        <w:pageBreakBefore w:val="0"/>
        <w:widowControl/>
        <w:kinsoku/>
        <w:wordWrap/>
        <w:overflowPunct/>
        <w:topLinePunct w:val="0"/>
        <w:autoSpaceDE/>
        <w:autoSpaceDN/>
        <w:bidi w:val="0"/>
        <w:adjustRightInd/>
        <w:snapToGrid/>
        <w:spacing w:line="140" w:lineRule="exact"/>
        <w:ind w:firstLine="488"/>
        <w:jc w:val="both"/>
        <w:textAlignment w:val="auto"/>
        <w:rPr>
          <w:rFonts w:hint="eastAsia" w:ascii="宋体" w:hAnsi="宋体" w:eastAsia="宋体" w:cs="宋体"/>
          <w:b/>
          <w:bCs/>
          <w:color w:val="000000"/>
          <w:kern w:val="0"/>
          <w:sz w:val="13"/>
          <w:szCs w:val="13"/>
          <w:highlight w:val="none"/>
        </w:rPr>
      </w:pPr>
      <w:r>
        <w:rPr>
          <w:rFonts w:hint="eastAsia" w:ascii="宋体" w:hAnsi="宋体" w:eastAsia="宋体" w:cs="宋体"/>
          <w:b/>
          <w:bCs/>
          <w:color w:val="000000"/>
          <w:kern w:val="0"/>
          <w:sz w:val="13"/>
          <w:szCs w:val="13"/>
          <w:highlight w:val="none"/>
        </w:rPr>
        <w:t>2</w:t>
      </w:r>
      <w:r>
        <w:rPr>
          <w:rFonts w:hint="eastAsia" w:ascii="宋体" w:hAnsi="宋体" w:eastAsia="宋体" w:cs="宋体"/>
          <w:b/>
          <w:bCs/>
          <w:color w:val="000000"/>
          <w:kern w:val="0"/>
          <w:sz w:val="13"/>
          <w:szCs w:val="13"/>
          <w:highlight w:val="none"/>
          <w:lang w:val="en-US" w:eastAsia="zh-CN"/>
        </w:rPr>
        <w:t>.</w:t>
      </w:r>
      <w:r>
        <w:rPr>
          <w:rFonts w:hint="eastAsia" w:ascii="宋体" w:hAnsi="宋体" w:eastAsia="宋体" w:cs="宋体"/>
          <w:b/>
          <w:bCs/>
          <w:color w:val="000000"/>
          <w:kern w:val="0"/>
          <w:sz w:val="13"/>
          <w:szCs w:val="13"/>
          <w:highlight w:val="none"/>
        </w:rPr>
        <w:t>甲方账户存款余额、信用额度不足或交易超出限额；</w:t>
      </w:r>
    </w:p>
    <w:p>
      <w:pPr>
        <w:keepNext w:val="0"/>
        <w:keepLines w:val="0"/>
        <w:pageBreakBefore w:val="0"/>
        <w:widowControl/>
        <w:kinsoku/>
        <w:wordWrap/>
        <w:overflowPunct/>
        <w:topLinePunct w:val="0"/>
        <w:autoSpaceDE/>
        <w:autoSpaceDN/>
        <w:bidi w:val="0"/>
        <w:adjustRightInd/>
        <w:snapToGrid/>
        <w:spacing w:line="140" w:lineRule="exact"/>
        <w:ind w:firstLine="488"/>
        <w:jc w:val="both"/>
        <w:textAlignment w:val="auto"/>
        <w:rPr>
          <w:rFonts w:hint="eastAsia" w:ascii="宋体" w:hAnsi="宋体" w:eastAsia="宋体" w:cs="宋体"/>
          <w:b/>
          <w:bCs/>
          <w:color w:val="000000"/>
          <w:kern w:val="0"/>
          <w:sz w:val="13"/>
          <w:szCs w:val="13"/>
          <w:highlight w:val="none"/>
        </w:rPr>
      </w:pPr>
      <w:r>
        <w:rPr>
          <w:rFonts w:hint="eastAsia" w:ascii="宋体" w:hAnsi="宋体" w:eastAsia="宋体" w:cs="宋体"/>
          <w:b/>
          <w:bCs/>
          <w:color w:val="000000"/>
          <w:kern w:val="0"/>
          <w:sz w:val="13"/>
          <w:szCs w:val="13"/>
          <w:highlight w:val="none"/>
        </w:rPr>
        <w:t>3</w:t>
      </w:r>
      <w:r>
        <w:rPr>
          <w:rFonts w:hint="eastAsia" w:ascii="宋体" w:hAnsi="宋体" w:eastAsia="宋体" w:cs="宋体"/>
          <w:b/>
          <w:bCs/>
          <w:color w:val="000000"/>
          <w:kern w:val="0"/>
          <w:sz w:val="13"/>
          <w:szCs w:val="13"/>
          <w:highlight w:val="none"/>
          <w:lang w:val="en-US" w:eastAsia="zh-CN"/>
        </w:rPr>
        <w:t>.</w:t>
      </w:r>
      <w:r>
        <w:rPr>
          <w:rFonts w:hint="eastAsia" w:ascii="宋体" w:hAnsi="宋体" w:eastAsia="宋体" w:cs="宋体"/>
          <w:b/>
          <w:bCs/>
          <w:color w:val="000000"/>
          <w:kern w:val="0"/>
          <w:sz w:val="13"/>
          <w:szCs w:val="13"/>
          <w:highlight w:val="none"/>
        </w:rPr>
        <w:t>甲方账户内资金被依法冻结或扣划；</w:t>
      </w:r>
    </w:p>
    <w:p>
      <w:pPr>
        <w:keepNext w:val="0"/>
        <w:keepLines w:val="0"/>
        <w:pageBreakBefore w:val="0"/>
        <w:widowControl/>
        <w:kinsoku/>
        <w:wordWrap/>
        <w:overflowPunct/>
        <w:topLinePunct w:val="0"/>
        <w:autoSpaceDE/>
        <w:autoSpaceDN/>
        <w:bidi w:val="0"/>
        <w:adjustRightInd/>
        <w:snapToGrid/>
        <w:spacing w:line="140" w:lineRule="exact"/>
        <w:ind w:firstLine="488"/>
        <w:jc w:val="both"/>
        <w:textAlignment w:val="auto"/>
        <w:rPr>
          <w:rFonts w:hint="eastAsia" w:ascii="宋体" w:hAnsi="宋体" w:eastAsia="宋体" w:cs="宋体"/>
          <w:b/>
          <w:bCs/>
          <w:color w:val="000000"/>
          <w:kern w:val="0"/>
          <w:sz w:val="13"/>
          <w:szCs w:val="13"/>
          <w:highlight w:val="none"/>
        </w:rPr>
      </w:pPr>
      <w:r>
        <w:rPr>
          <w:rFonts w:hint="eastAsia" w:ascii="宋体" w:hAnsi="宋体" w:eastAsia="宋体" w:cs="宋体"/>
          <w:b/>
          <w:bCs/>
          <w:color w:val="000000"/>
          <w:kern w:val="0"/>
          <w:sz w:val="13"/>
          <w:szCs w:val="13"/>
          <w:highlight w:val="none"/>
        </w:rPr>
        <w:t>4</w:t>
      </w:r>
      <w:r>
        <w:rPr>
          <w:rFonts w:hint="eastAsia" w:ascii="宋体" w:hAnsi="宋体" w:eastAsia="宋体" w:cs="宋体"/>
          <w:b/>
          <w:bCs/>
          <w:color w:val="000000"/>
          <w:kern w:val="0"/>
          <w:sz w:val="13"/>
          <w:szCs w:val="13"/>
          <w:highlight w:val="none"/>
          <w:lang w:val="en-US" w:eastAsia="zh-CN"/>
        </w:rPr>
        <w:t>.</w:t>
      </w:r>
      <w:r>
        <w:rPr>
          <w:rFonts w:hint="eastAsia" w:ascii="宋体" w:hAnsi="宋体" w:eastAsia="宋体" w:cs="宋体"/>
          <w:b/>
          <w:bCs/>
          <w:color w:val="000000"/>
          <w:kern w:val="0"/>
          <w:sz w:val="13"/>
          <w:szCs w:val="13"/>
          <w:highlight w:val="none"/>
        </w:rPr>
        <w:t>甲方行为出于疑似欺诈或其他非法目的；</w:t>
      </w:r>
    </w:p>
    <w:p>
      <w:pPr>
        <w:keepNext w:val="0"/>
        <w:keepLines w:val="0"/>
        <w:pageBreakBefore w:val="0"/>
        <w:widowControl/>
        <w:kinsoku/>
        <w:wordWrap/>
        <w:overflowPunct/>
        <w:topLinePunct w:val="0"/>
        <w:autoSpaceDE/>
        <w:autoSpaceDN/>
        <w:bidi w:val="0"/>
        <w:adjustRightInd/>
        <w:snapToGrid/>
        <w:spacing w:line="140" w:lineRule="exact"/>
        <w:ind w:firstLine="488"/>
        <w:jc w:val="both"/>
        <w:textAlignment w:val="auto"/>
        <w:rPr>
          <w:rFonts w:hint="eastAsia" w:ascii="宋体" w:hAnsi="宋体" w:eastAsia="宋体" w:cs="宋体"/>
          <w:b/>
          <w:bCs/>
          <w:color w:val="000000"/>
          <w:kern w:val="0"/>
          <w:sz w:val="13"/>
          <w:szCs w:val="13"/>
          <w:highlight w:val="none"/>
        </w:rPr>
      </w:pPr>
      <w:r>
        <w:rPr>
          <w:rFonts w:hint="eastAsia" w:ascii="宋体" w:hAnsi="宋体" w:eastAsia="宋体" w:cs="宋体"/>
          <w:b/>
          <w:bCs/>
          <w:color w:val="000000"/>
          <w:kern w:val="0"/>
          <w:sz w:val="13"/>
          <w:szCs w:val="13"/>
          <w:highlight w:val="none"/>
        </w:rPr>
        <w:t>5</w:t>
      </w:r>
      <w:r>
        <w:rPr>
          <w:rFonts w:hint="eastAsia" w:ascii="宋体" w:hAnsi="宋体" w:eastAsia="宋体" w:cs="宋体"/>
          <w:b/>
          <w:bCs/>
          <w:color w:val="000000"/>
          <w:kern w:val="0"/>
          <w:sz w:val="13"/>
          <w:szCs w:val="13"/>
          <w:highlight w:val="none"/>
          <w:lang w:val="en-US" w:eastAsia="zh-CN"/>
        </w:rPr>
        <w:t>.</w:t>
      </w:r>
      <w:r>
        <w:rPr>
          <w:rFonts w:hint="eastAsia" w:ascii="宋体" w:hAnsi="宋体" w:eastAsia="宋体" w:cs="宋体"/>
          <w:b/>
          <w:bCs/>
          <w:color w:val="000000"/>
          <w:kern w:val="0"/>
          <w:sz w:val="13"/>
          <w:szCs w:val="13"/>
          <w:highlight w:val="none"/>
        </w:rPr>
        <w:t>甲方未能按照乙方的有关业务规定正确操作；</w:t>
      </w:r>
    </w:p>
    <w:p>
      <w:pPr>
        <w:keepNext w:val="0"/>
        <w:keepLines w:val="0"/>
        <w:pageBreakBefore w:val="0"/>
        <w:widowControl/>
        <w:kinsoku/>
        <w:wordWrap/>
        <w:overflowPunct/>
        <w:topLinePunct w:val="0"/>
        <w:autoSpaceDE/>
        <w:autoSpaceDN/>
        <w:bidi w:val="0"/>
        <w:adjustRightInd/>
        <w:snapToGrid/>
        <w:spacing w:line="140" w:lineRule="exact"/>
        <w:ind w:firstLine="488"/>
        <w:jc w:val="both"/>
        <w:textAlignment w:val="auto"/>
        <w:rPr>
          <w:rFonts w:hint="eastAsia" w:ascii="宋体" w:hAnsi="宋体" w:eastAsia="宋体" w:cs="宋体"/>
          <w:b/>
          <w:bCs/>
          <w:color w:val="000000"/>
          <w:kern w:val="0"/>
          <w:sz w:val="13"/>
          <w:szCs w:val="13"/>
          <w:highlight w:val="none"/>
        </w:rPr>
      </w:pPr>
      <w:r>
        <w:rPr>
          <w:rFonts w:hint="eastAsia" w:ascii="宋体" w:hAnsi="宋体" w:eastAsia="宋体" w:cs="宋体"/>
          <w:b/>
          <w:bCs/>
          <w:color w:val="000000"/>
          <w:kern w:val="0"/>
          <w:sz w:val="13"/>
          <w:szCs w:val="13"/>
          <w:highlight w:val="none"/>
        </w:rPr>
        <w:t>6</w:t>
      </w:r>
      <w:r>
        <w:rPr>
          <w:rFonts w:hint="eastAsia" w:ascii="宋体" w:hAnsi="宋体" w:eastAsia="宋体" w:cs="宋体"/>
          <w:b/>
          <w:bCs/>
          <w:color w:val="000000"/>
          <w:kern w:val="0"/>
          <w:sz w:val="13"/>
          <w:szCs w:val="13"/>
          <w:highlight w:val="none"/>
          <w:lang w:val="en-US" w:eastAsia="zh-CN"/>
        </w:rPr>
        <w:t>.</w:t>
      </w:r>
      <w:r>
        <w:rPr>
          <w:rFonts w:hint="eastAsia" w:ascii="宋体" w:hAnsi="宋体" w:eastAsia="宋体" w:cs="宋体"/>
          <w:b/>
          <w:bCs/>
          <w:color w:val="000000"/>
          <w:kern w:val="0"/>
          <w:sz w:val="13"/>
          <w:szCs w:val="13"/>
          <w:highlight w:val="none"/>
        </w:rPr>
        <w:t>对由因法律法规及监管政策变化、自然灾害、战争等不能预见、不能避免、不能克服的不可抗力事件或系统故障、通讯故障等其他不可归因于乙方的情况。</w:t>
      </w:r>
    </w:p>
    <w:p>
      <w:pPr>
        <w:keepNext w:val="0"/>
        <w:keepLines w:val="0"/>
        <w:pageBreakBefore w:val="0"/>
        <w:widowControl/>
        <w:kinsoku/>
        <w:wordWrap/>
        <w:overflowPunct/>
        <w:topLinePunct w:val="0"/>
        <w:autoSpaceDE/>
        <w:autoSpaceDN/>
        <w:bidi w:val="0"/>
        <w:adjustRightInd/>
        <w:snapToGrid/>
        <w:spacing w:line="140" w:lineRule="exact"/>
        <w:ind w:firstLine="488"/>
        <w:jc w:val="both"/>
        <w:textAlignment w:val="auto"/>
        <w:rPr>
          <w:rFonts w:hint="eastAsia" w:ascii="宋体" w:hAnsi="宋体" w:eastAsia="宋体" w:cs="宋体"/>
          <w:b/>
          <w:kern w:val="0"/>
          <w:sz w:val="13"/>
          <w:szCs w:val="13"/>
          <w:highlight w:val="none"/>
        </w:rPr>
      </w:pPr>
      <w:r>
        <w:rPr>
          <w:rFonts w:hint="eastAsia" w:ascii="宋体" w:hAnsi="宋体" w:eastAsia="宋体" w:cs="宋体"/>
          <w:kern w:val="0"/>
          <w:sz w:val="13"/>
          <w:szCs w:val="13"/>
          <w:highlight w:val="none"/>
        </w:rPr>
        <w:t>（</w:t>
      </w:r>
      <w:r>
        <w:rPr>
          <w:rFonts w:hint="eastAsia" w:ascii="宋体" w:hAnsi="宋体" w:eastAsia="宋体" w:cs="宋体"/>
          <w:kern w:val="0"/>
          <w:sz w:val="13"/>
          <w:szCs w:val="13"/>
          <w:highlight w:val="none"/>
          <w:lang w:val="en-US" w:eastAsia="zh-CN"/>
        </w:rPr>
        <w:t>八</w:t>
      </w:r>
      <w:r>
        <w:rPr>
          <w:rFonts w:hint="eastAsia" w:ascii="宋体" w:hAnsi="宋体" w:eastAsia="宋体" w:cs="宋体"/>
          <w:kern w:val="0"/>
          <w:sz w:val="13"/>
          <w:szCs w:val="13"/>
          <w:highlight w:val="none"/>
        </w:rPr>
        <w:t>）</w:t>
      </w:r>
      <w:r>
        <w:rPr>
          <w:rFonts w:hint="eastAsia" w:ascii="宋体" w:hAnsi="宋体" w:eastAsia="宋体" w:cs="宋体"/>
          <w:b/>
          <w:kern w:val="0"/>
          <w:sz w:val="13"/>
          <w:szCs w:val="13"/>
          <w:highlight w:val="none"/>
        </w:rPr>
        <w:t>甲方账户在乙方开户后六个月内未发生资金交易，或甲方未能按乙方要求提供其有效存续及合法、合规经营的证明文件，或乙方怀疑甲方涉嫌洗钱、诈骗或违反国家法律法规、监管政策及银行合规政策，乙方有权直接终止企业/同业金融电子渠道服务而无需事先通知甲方。甲方因此所遭受的一切损失（不论直接或间接导致）由甲方自行承担。</w:t>
      </w:r>
    </w:p>
    <w:p>
      <w:pPr>
        <w:keepNext w:val="0"/>
        <w:keepLines w:val="0"/>
        <w:pageBreakBefore w:val="0"/>
        <w:widowControl/>
        <w:kinsoku/>
        <w:wordWrap/>
        <w:overflowPunct/>
        <w:topLinePunct w:val="0"/>
        <w:autoSpaceDE/>
        <w:autoSpaceDN/>
        <w:bidi w:val="0"/>
        <w:adjustRightInd/>
        <w:snapToGrid/>
        <w:spacing w:line="140" w:lineRule="exact"/>
        <w:ind w:firstLine="488"/>
        <w:jc w:val="both"/>
        <w:textAlignment w:val="auto"/>
        <w:rPr>
          <w:rFonts w:hint="eastAsia" w:ascii="宋体" w:hAnsi="宋体" w:eastAsia="宋体" w:cs="宋体"/>
          <w:b/>
          <w:kern w:val="0"/>
          <w:sz w:val="13"/>
          <w:szCs w:val="13"/>
          <w:highlight w:val="none"/>
        </w:rPr>
      </w:pPr>
      <w:r>
        <w:rPr>
          <w:rFonts w:hint="eastAsia" w:ascii="宋体" w:hAnsi="宋体" w:eastAsia="宋体" w:cs="宋体"/>
          <w:kern w:val="0"/>
          <w:sz w:val="13"/>
          <w:szCs w:val="13"/>
          <w:highlight w:val="none"/>
        </w:rPr>
        <w:t>（</w:t>
      </w:r>
      <w:r>
        <w:rPr>
          <w:rFonts w:hint="eastAsia" w:ascii="宋体" w:hAnsi="宋体" w:eastAsia="宋体" w:cs="宋体"/>
          <w:kern w:val="0"/>
          <w:sz w:val="13"/>
          <w:szCs w:val="13"/>
          <w:highlight w:val="none"/>
          <w:lang w:val="en-US" w:eastAsia="zh-CN"/>
        </w:rPr>
        <w:t>九</w:t>
      </w:r>
      <w:r>
        <w:rPr>
          <w:rFonts w:hint="eastAsia" w:ascii="宋体" w:hAnsi="宋体" w:eastAsia="宋体" w:cs="宋体"/>
          <w:kern w:val="0"/>
          <w:sz w:val="13"/>
          <w:szCs w:val="13"/>
          <w:highlight w:val="none"/>
        </w:rPr>
        <w:t>）</w:t>
      </w:r>
      <w:r>
        <w:rPr>
          <w:rFonts w:hint="eastAsia" w:ascii="宋体" w:hAnsi="宋体" w:eastAsia="宋体" w:cs="宋体"/>
          <w:b/>
          <w:kern w:val="0"/>
          <w:sz w:val="13"/>
          <w:szCs w:val="13"/>
          <w:highlight w:val="none"/>
        </w:rPr>
        <w:t>甲方有下列行为之一的，乙方有权停止对甲方提供企业/同业金融电子渠道服务或终止本协议，因此造成乙方损失的，有权要求甲方承担赔偿责任：</w:t>
      </w:r>
    </w:p>
    <w:p>
      <w:pPr>
        <w:keepNext w:val="0"/>
        <w:keepLines w:val="0"/>
        <w:pageBreakBefore w:val="0"/>
        <w:widowControl/>
        <w:kinsoku/>
        <w:wordWrap/>
        <w:overflowPunct/>
        <w:topLinePunct w:val="0"/>
        <w:autoSpaceDE/>
        <w:autoSpaceDN/>
        <w:bidi w:val="0"/>
        <w:adjustRightInd/>
        <w:snapToGrid/>
        <w:spacing w:line="140" w:lineRule="exact"/>
        <w:ind w:firstLine="488"/>
        <w:jc w:val="both"/>
        <w:textAlignment w:val="auto"/>
        <w:rPr>
          <w:rFonts w:hint="eastAsia" w:ascii="宋体" w:hAnsi="宋体" w:eastAsia="宋体" w:cs="宋体"/>
          <w:b/>
          <w:kern w:val="0"/>
          <w:sz w:val="13"/>
          <w:szCs w:val="13"/>
          <w:highlight w:val="none"/>
        </w:rPr>
      </w:pPr>
      <w:r>
        <w:rPr>
          <w:rFonts w:hint="eastAsia" w:ascii="宋体" w:hAnsi="宋体" w:eastAsia="宋体" w:cs="宋体"/>
          <w:b/>
          <w:kern w:val="0"/>
          <w:sz w:val="13"/>
          <w:szCs w:val="13"/>
          <w:highlight w:val="none"/>
        </w:rPr>
        <w:t>1</w:t>
      </w:r>
      <w:r>
        <w:rPr>
          <w:rFonts w:hint="eastAsia" w:ascii="宋体" w:hAnsi="宋体" w:eastAsia="宋体" w:cs="宋体"/>
          <w:b/>
          <w:kern w:val="0"/>
          <w:sz w:val="13"/>
          <w:szCs w:val="13"/>
          <w:highlight w:val="none"/>
          <w:lang w:val="en-US" w:eastAsia="zh-CN"/>
        </w:rPr>
        <w:t>.</w:t>
      </w:r>
      <w:r>
        <w:rPr>
          <w:rFonts w:hint="eastAsia" w:ascii="宋体" w:hAnsi="宋体" w:eastAsia="宋体" w:cs="宋体"/>
          <w:b/>
          <w:kern w:val="0"/>
          <w:sz w:val="13"/>
          <w:szCs w:val="13"/>
          <w:highlight w:val="none"/>
        </w:rPr>
        <w:t>利用企业/同业金融电子渠道发送与企业/同业金融电子渠道业务无关的违法、违纪信息或破坏性信息的；</w:t>
      </w:r>
    </w:p>
    <w:p>
      <w:pPr>
        <w:keepNext w:val="0"/>
        <w:keepLines w:val="0"/>
        <w:pageBreakBefore w:val="0"/>
        <w:widowControl/>
        <w:kinsoku/>
        <w:wordWrap/>
        <w:overflowPunct/>
        <w:topLinePunct w:val="0"/>
        <w:autoSpaceDE/>
        <w:autoSpaceDN/>
        <w:bidi w:val="0"/>
        <w:adjustRightInd/>
        <w:snapToGrid/>
        <w:spacing w:line="140" w:lineRule="exact"/>
        <w:ind w:firstLine="488"/>
        <w:jc w:val="both"/>
        <w:textAlignment w:val="auto"/>
        <w:rPr>
          <w:rFonts w:hint="eastAsia" w:ascii="宋体" w:hAnsi="宋体" w:eastAsia="宋体" w:cs="宋体"/>
          <w:b/>
          <w:kern w:val="0"/>
          <w:sz w:val="13"/>
          <w:szCs w:val="13"/>
          <w:highlight w:val="none"/>
        </w:rPr>
      </w:pPr>
      <w:r>
        <w:rPr>
          <w:rFonts w:hint="eastAsia" w:ascii="宋体" w:hAnsi="宋体" w:eastAsia="宋体" w:cs="宋体"/>
          <w:b/>
          <w:kern w:val="0"/>
          <w:sz w:val="13"/>
          <w:szCs w:val="13"/>
          <w:highlight w:val="none"/>
        </w:rPr>
        <w:t>2</w:t>
      </w:r>
      <w:r>
        <w:rPr>
          <w:rFonts w:hint="eastAsia" w:ascii="宋体" w:hAnsi="宋体" w:eastAsia="宋体" w:cs="宋体"/>
          <w:b/>
          <w:kern w:val="0"/>
          <w:sz w:val="13"/>
          <w:szCs w:val="13"/>
          <w:highlight w:val="none"/>
          <w:lang w:val="en-US" w:eastAsia="zh-CN"/>
        </w:rPr>
        <w:t>.</w:t>
      </w:r>
      <w:r>
        <w:rPr>
          <w:rFonts w:hint="eastAsia" w:ascii="宋体" w:hAnsi="宋体" w:eastAsia="宋体" w:cs="宋体"/>
          <w:b/>
          <w:kern w:val="0"/>
          <w:sz w:val="13"/>
          <w:szCs w:val="13"/>
          <w:highlight w:val="none"/>
        </w:rPr>
        <w:t>利用企业/同业金融电子渠道从事非法活动被执法机关或监管部门要求查处的；</w:t>
      </w:r>
    </w:p>
    <w:p>
      <w:pPr>
        <w:keepNext w:val="0"/>
        <w:keepLines w:val="0"/>
        <w:pageBreakBefore w:val="0"/>
        <w:widowControl/>
        <w:kinsoku/>
        <w:wordWrap/>
        <w:overflowPunct/>
        <w:topLinePunct w:val="0"/>
        <w:autoSpaceDE/>
        <w:autoSpaceDN/>
        <w:bidi w:val="0"/>
        <w:adjustRightInd/>
        <w:snapToGrid/>
        <w:spacing w:line="140" w:lineRule="exact"/>
        <w:ind w:firstLine="488"/>
        <w:jc w:val="both"/>
        <w:textAlignment w:val="auto"/>
        <w:rPr>
          <w:rFonts w:hint="eastAsia" w:ascii="宋体" w:hAnsi="宋体" w:eastAsia="宋体" w:cs="宋体"/>
          <w:b/>
          <w:kern w:val="0"/>
          <w:sz w:val="13"/>
          <w:szCs w:val="13"/>
          <w:highlight w:val="none"/>
        </w:rPr>
      </w:pPr>
      <w:r>
        <w:rPr>
          <w:rFonts w:hint="eastAsia" w:ascii="宋体" w:hAnsi="宋体" w:eastAsia="宋体" w:cs="宋体"/>
          <w:b/>
          <w:kern w:val="0"/>
          <w:sz w:val="13"/>
          <w:szCs w:val="13"/>
          <w:highlight w:val="none"/>
        </w:rPr>
        <w:t>3</w:t>
      </w:r>
      <w:r>
        <w:rPr>
          <w:rFonts w:hint="eastAsia" w:ascii="宋体" w:hAnsi="宋体" w:eastAsia="宋体" w:cs="宋体"/>
          <w:b/>
          <w:kern w:val="0"/>
          <w:sz w:val="13"/>
          <w:szCs w:val="13"/>
          <w:highlight w:val="none"/>
          <w:lang w:val="en-US" w:eastAsia="zh-CN"/>
        </w:rPr>
        <w:t>.</w:t>
      </w:r>
      <w:r>
        <w:rPr>
          <w:rFonts w:hint="eastAsia" w:ascii="宋体" w:hAnsi="宋体" w:eastAsia="宋体" w:cs="宋体"/>
          <w:b/>
          <w:kern w:val="0"/>
          <w:sz w:val="13"/>
          <w:szCs w:val="13"/>
          <w:highlight w:val="none"/>
        </w:rPr>
        <w:t>因违反承诺、不遵守本协议而造成或即将造成不良后果的。</w:t>
      </w:r>
    </w:p>
    <w:p>
      <w:pPr>
        <w:keepNext w:val="0"/>
        <w:keepLines w:val="0"/>
        <w:pageBreakBefore w:val="0"/>
        <w:widowControl/>
        <w:kinsoku/>
        <w:wordWrap/>
        <w:overflowPunct/>
        <w:topLinePunct w:val="0"/>
        <w:autoSpaceDE/>
        <w:autoSpaceDN/>
        <w:bidi w:val="0"/>
        <w:adjustRightInd/>
        <w:snapToGrid/>
        <w:spacing w:line="140" w:lineRule="exact"/>
        <w:ind w:firstLine="488"/>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（十）</w:t>
      </w:r>
      <w:r>
        <w:rPr>
          <w:rFonts w:hint="eastAsia" w:ascii="宋体" w:hAnsi="宋体" w:eastAsia="宋体" w:cs="宋体"/>
          <w:color w:val="000000"/>
          <w:kern w:val="0"/>
          <w:sz w:val="13"/>
          <w:szCs w:val="13"/>
          <w:highlight w:val="none"/>
          <w:lang w:val="en-US" w:eastAsia="zh-CN"/>
        </w:rPr>
        <w:t>根据相关法律与监管规定，</w:t>
      </w:r>
      <w:r>
        <w:rPr>
          <w:rFonts w:hint="eastAsia" w:ascii="宋体" w:hAnsi="宋体" w:eastAsia="宋体" w:cs="宋体"/>
          <w:color w:val="000000"/>
          <w:kern w:val="0"/>
          <w:sz w:val="13"/>
          <w:szCs w:val="13"/>
          <w:highlight w:val="none"/>
        </w:rPr>
        <w:t>因司法机关介入、监管机构监管及银行内部控制等要求，对于甲方有关账户需要进行业务监控或业务审核的，乙方有权单方面在乙方系统中对上述账户进行特殊设置，对上述账户的企业/同业金融电子渠道业务指令进行相关审核后发送后台处理。同时，一旦发现甲方有洗钱、逃税等违法犯罪嫌疑，乙方即可视情况单方面采取向相关机构报告、暂停、关闭甲方企业/同业金融电子渠道服务等措施。</w:t>
      </w:r>
    </w:p>
    <w:p>
      <w:pPr>
        <w:keepNext w:val="0"/>
        <w:keepLines w:val="0"/>
        <w:pageBreakBefore w:val="0"/>
        <w:widowControl/>
        <w:kinsoku/>
        <w:wordWrap/>
        <w:overflowPunct/>
        <w:topLinePunct w:val="0"/>
        <w:autoSpaceDE/>
        <w:autoSpaceDN/>
        <w:bidi w:val="0"/>
        <w:adjustRightInd/>
        <w:snapToGrid/>
        <w:spacing w:line="140" w:lineRule="exact"/>
        <w:ind w:firstLine="488"/>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（十</w:t>
      </w:r>
      <w:r>
        <w:rPr>
          <w:rFonts w:hint="eastAsia" w:ascii="宋体" w:hAnsi="宋体" w:eastAsia="宋体" w:cs="宋体"/>
          <w:color w:val="000000"/>
          <w:kern w:val="0"/>
          <w:sz w:val="13"/>
          <w:szCs w:val="13"/>
          <w:highlight w:val="none"/>
          <w:lang w:val="en-US" w:eastAsia="zh-CN"/>
        </w:rPr>
        <w:t>一</w:t>
      </w:r>
      <w:r>
        <w:rPr>
          <w:rFonts w:hint="eastAsia" w:ascii="宋体" w:hAnsi="宋体" w:eastAsia="宋体" w:cs="宋体"/>
          <w:color w:val="000000"/>
          <w:kern w:val="0"/>
          <w:sz w:val="13"/>
          <w:szCs w:val="13"/>
          <w:highlight w:val="none"/>
        </w:rPr>
        <w:t>）乙方有权基于预防欺诈目的或外部有权机关的要求监控甲方通过乙方企业/同业金融电子渠道从事的操作以及交易。</w:t>
      </w:r>
    </w:p>
    <w:p>
      <w:pPr>
        <w:keepNext w:val="0"/>
        <w:keepLines w:val="0"/>
        <w:pageBreakBefore w:val="0"/>
        <w:widowControl/>
        <w:kinsoku/>
        <w:wordWrap/>
        <w:overflowPunct/>
        <w:topLinePunct w:val="0"/>
        <w:autoSpaceDE/>
        <w:autoSpaceDN/>
        <w:bidi w:val="0"/>
        <w:adjustRightInd/>
        <w:snapToGrid/>
        <w:spacing w:line="140" w:lineRule="exact"/>
        <w:ind w:firstLine="261" w:firstLineChars="200"/>
        <w:jc w:val="both"/>
        <w:textAlignment w:val="auto"/>
        <w:outlineLvl w:val="1"/>
        <w:rPr>
          <w:rFonts w:hint="eastAsia" w:ascii="宋体" w:hAnsi="宋体" w:eastAsia="宋体" w:cs="宋体"/>
          <w:b/>
          <w:kern w:val="0"/>
          <w:sz w:val="13"/>
          <w:szCs w:val="13"/>
          <w:highlight w:val="none"/>
        </w:rPr>
      </w:pPr>
      <w:r>
        <w:rPr>
          <w:rFonts w:hint="eastAsia" w:ascii="宋体" w:hAnsi="宋体" w:eastAsia="宋体" w:cs="宋体"/>
          <w:b/>
          <w:kern w:val="0"/>
          <w:sz w:val="13"/>
          <w:szCs w:val="13"/>
          <w:highlight w:val="none"/>
        </w:rPr>
        <w:t>二、主要义务</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outlineLvl w:val="1"/>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（一）乙方对于本方所使用的相关软件的合法性承担责任。</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outlineLvl w:val="1"/>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（二）乙方负责根据甲方资信情况及时为甲方办理企业/同业金融电子渠道开通手续，并按甲方申请功能的不同为甲方提供相应的企业/同业金融电子渠道服务。</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outlineLvl w:val="1"/>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（三）乙方负责向甲方提供企业/同业金融电子渠道业务咨询服务，并在乙方网站公布业务介绍、操作指南、帮助信息等内容。</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outlineLvl w:val="1"/>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四）乙方应在法律法规许可范围内使用甲方的资料和交易记录。乙方对甲方提供的企业信息资料和企业/同业金融电子渠道用户的个人信息有保密的义务，但法律法规另有规定及司法、监管、审计等机构另有要求的除外。</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outlineLvl w:val="1"/>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五）乙方同意甲方开通及证书申请后，甲方可选择由乙方协助完成客户证书下载并交付甲方使用，也可以选择自行下载方式（即乙方将下载用户客户证书所需的密码信封交付给甲方，并保证在交付之前该客户证书均处于未下载状态）。针对手机盾证书，甲方还可以通过兴业管家</w:t>
      </w:r>
      <w:r>
        <w:rPr>
          <w:rFonts w:hint="eastAsia" w:ascii="宋体" w:hAnsi="宋体" w:eastAsia="宋体" w:cs="宋体"/>
          <w:color w:val="000000"/>
          <w:kern w:val="0"/>
          <w:sz w:val="13"/>
          <w:szCs w:val="13"/>
          <w:highlight w:val="none"/>
          <w:lang w:val="en-US" w:eastAsia="zh-CN"/>
        </w:rPr>
        <w:t>App</w:t>
      </w:r>
      <w:r>
        <w:rPr>
          <w:rFonts w:hint="eastAsia" w:ascii="宋体" w:hAnsi="宋体" w:eastAsia="宋体" w:cs="宋体"/>
          <w:color w:val="000000"/>
          <w:kern w:val="0"/>
          <w:sz w:val="13"/>
          <w:szCs w:val="13"/>
          <w:highlight w:val="none"/>
        </w:rPr>
        <w:t>申请手机盾证书的发放及下载。</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outlineLvl w:val="1"/>
        <w:rPr>
          <w:rFonts w:hint="eastAsia" w:ascii="宋体" w:hAnsi="宋体" w:eastAsia="宋体" w:cs="宋体"/>
          <w:color w:val="000000"/>
          <w:kern w:val="0"/>
          <w:sz w:val="13"/>
          <w:szCs w:val="13"/>
          <w:highlight w:val="none"/>
        </w:rPr>
      </w:pPr>
      <w:r>
        <w:rPr>
          <w:rFonts w:hint="eastAsia" w:ascii="宋体" w:hAnsi="宋体" w:eastAsia="宋体" w:cs="宋体"/>
          <w:kern w:val="0"/>
          <w:sz w:val="13"/>
          <w:szCs w:val="13"/>
          <w:highlight w:val="none"/>
        </w:rPr>
        <w:t>（六）</w:t>
      </w:r>
      <w:r>
        <w:rPr>
          <w:rFonts w:hint="eastAsia" w:ascii="宋体" w:hAnsi="宋体" w:eastAsia="宋体" w:cs="宋体"/>
          <w:color w:val="000000"/>
          <w:kern w:val="0"/>
          <w:sz w:val="13"/>
          <w:szCs w:val="13"/>
          <w:highlight w:val="none"/>
        </w:rPr>
        <w:t>在乙方系统正常运行，且不存在本协议中停止、终止服务的情况下，乙方负责及时准确地处理甲方发送的单位电子银行业务指令。甲方提交业务指令与乙方处理业务指令并非完全同步，如对于需要甲方提交证明文件和/或其他文件的交易指令，乙方将在收齐上述文件后处理甲方的交易指令。</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outlineLvl w:val="1"/>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（七）乙方收到甲方对企业/同业金融电子渠道业务的问题反映时，应及时进行调查并告知甲方调查结果。</w:t>
      </w:r>
    </w:p>
    <w:p>
      <w:pPr>
        <w:keepNext w:val="0"/>
        <w:keepLines w:val="0"/>
        <w:pageBreakBefore w:val="0"/>
        <w:widowControl/>
        <w:kinsoku/>
        <w:wordWrap/>
        <w:overflowPunct/>
        <w:topLinePunct w:val="0"/>
        <w:autoSpaceDE/>
        <w:autoSpaceDN/>
        <w:bidi w:val="0"/>
        <w:adjustRightInd/>
        <w:snapToGrid/>
        <w:spacing w:line="140" w:lineRule="exact"/>
        <w:ind w:firstLine="261" w:firstLineChars="200"/>
        <w:jc w:val="center"/>
        <w:textAlignment w:val="auto"/>
        <w:outlineLvl w:val="0"/>
        <w:rPr>
          <w:rFonts w:hint="eastAsia" w:ascii="宋体" w:hAnsi="宋体" w:eastAsia="宋体" w:cs="宋体"/>
          <w:b/>
          <w:color w:val="000000"/>
          <w:kern w:val="0"/>
          <w:sz w:val="13"/>
          <w:szCs w:val="13"/>
          <w:highlight w:val="none"/>
        </w:rPr>
      </w:pPr>
      <w:r>
        <w:rPr>
          <w:rFonts w:hint="eastAsia" w:ascii="宋体" w:hAnsi="宋体" w:eastAsia="宋体" w:cs="宋体"/>
          <w:b/>
          <w:color w:val="000000"/>
          <w:kern w:val="0"/>
          <w:sz w:val="13"/>
          <w:szCs w:val="13"/>
          <w:highlight w:val="none"/>
        </w:rPr>
        <w:t>第五条 差错处理</w:t>
      </w:r>
    </w:p>
    <w:p>
      <w:pPr>
        <w:keepNext w:val="0"/>
        <w:keepLines w:val="0"/>
        <w:pageBreakBefore w:val="0"/>
        <w:widowControl/>
        <w:kinsoku/>
        <w:wordWrap/>
        <w:overflowPunct/>
        <w:topLinePunct w:val="0"/>
        <w:autoSpaceDE/>
        <w:autoSpaceDN/>
        <w:bidi w:val="0"/>
        <w:adjustRightInd/>
        <w:snapToGrid/>
        <w:spacing w:line="140" w:lineRule="exact"/>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　　一、甲乙双方应遵守据实、准确和及时的原则处理企业/同业金融电子渠道服务业务差错。</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二、因乙方过错造成电子支付指令无法按约定时间传递、传递不完整或被篡改，并造成甲方损失的，乙方按《支付结算办法》的有关规定赔偿甲方的直接损失。</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b/>
          <w:bCs/>
          <w:color w:val="000000"/>
          <w:kern w:val="0"/>
          <w:sz w:val="13"/>
          <w:szCs w:val="13"/>
          <w:highlight w:val="none"/>
        </w:rPr>
      </w:pPr>
      <w:r>
        <w:rPr>
          <w:rFonts w:hint="eastAsia" w:ascii="宋体" w:hAnsi="宋体" w:eastAsia="宋体" w:cs="宋体"/>
          <w:color w:val="000000"/>
          <w:kern w:val="0"/>
          <w:sz w:val="13"/>
          <w:szCs w:val="13"/>
          <w:highlight w:val="none"/>
        </w:rPr>
        <w:t>三、</w:t>
      </w:r>
      <w:r>
        <w:rPr>
          <w:rFonts w:hint="eastAsia" w:ascii="宋体" w:hAnsi="宋体" w:eastAsia="宋体" w:cs="宋体"/>
          <w:b/>
          <w:bCs/>
          <w:color w:val="000000"/>
          <w:kern w:val="0"/>
          <w:sz w:val="13"/>
          <w:szCs w:val="13"/>
          <w:highlight w:val="none"/>
        </w:rPr>
        <w:t>甲方发现自身未按规范操作，或由于自身其他原因造成</w:t>
      </w:r>
      <w:bookmarkStart w:id="4" w:name="_Hlk118980974"/>
      <w:r>
        <w:rPr>
          <w:rFonts w:hint="eastAsia" w:ascii="宋体" w:hAnsi="宋体" w:eastAsia="宋体" w:cs="宋体"/>
          <w:b/>
          <w:bCs/>
          <w:color w:val="000000"/>
          <w:kern w:val="0"/>
          <w:sz w:val="13"/>
          <w:szCs w:val="13"/>
          <w:highlight w:val="none"/>
        </w:rPr>
        <w:t>企业/同业金融电子渠道</w:t>
      </w:r>
      <w:bookmarkEnd w:id="4"/>
      <w:r>
        <w:rPr>
          <w:rFonts w:hint="eastAsia" w:ascii="宋体" w:hAnsi="宋体" w:eastAsia="宋体" w:cs="宋体"/>
          <w:b/>
          <w:bCs/>
          <w:color w:val="000000"/>
          <w:kern w:val="0"/>
          <w:sz w:val="13"/>
          <w:szCs w:val="13"/>
          <w:highlight w:val="none"/>
        </w:rPr>
        <w:t>业务指令未执行、未适当执行、延迟执行的，应及时拨打服务热线“95561”或到营业网点通知乙方。乙方应积极调查并告知甲方调查结果。甲方因自身原因所遭受的一切损失（不论直接或间接导致）由甲方自行承担。</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b/>
          <w:bCs/>
          <w:color w:val="000000"/>
          <w:kern w:val="0"/>
          <w:sz w:val="13"/>
          <w:szCs w:val="13"/>
          <w:highlight w:val="none"/>
        </w:rPr>
      </w:pPr>
      <w:r>
        <w:rPr>
          <w:rFonts w:hint="eastAsia" w:ascii="宋体" w:hAnsi="宋体" w:eastAsia="宋体" w:cs="宋体"/>
          <w:color w:val="000000"/>
          <w:kern w:val="0"/>
          <w:sz w:val="13"/>
          <w:szCs w:val="13"/>
          <w:highlight w:val="none"/>
        </w:rPr>
        <w:t>四、</w:t>
      </w:r>
      <w:r>
        <w:rPr>
          <w:rFonts w:hint="eastAsia" w:ascii="宋体" w:hAnsi="宋体" w:eastAsia="宋体" w:cs="宋体"/>
          <w:b/>
          <w:bCs/>
          <w:color w:val="000000"/>
          <w:kern w:val="0"/>
          <w:sz w:val="13"/>
          <w:szCs w:val="13"/>
          <w:highlight w:val="none"/>
        </w:rPr>
        <w:t>乙方发现因甲方原因造成电子支付指令未执行、未适当执行、延迟执行的，将主动通知甲方改正或配合甲方采取补救措施。甲方因此所遭受的一切损失（不论直接或间接导致）由甲方自行承担。</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五、如甲方因乙方系统差错、故障或其他原因获得不当得利的，乙方有权从甲方账户中扣划甲方的不当得利所得或暂停对甲方的企业/同业金融电子渠道服务。</w:t>
      </w:r>
    </w:p>
    <w:p>
      <w:pPr>
        <w:keepNext w:val="0"/>
        <w:keepLines w:val="0"/>
        <w:pageBreakBefore w:val="0"/>
        <w:widowControl/>
        <w:kinsoku/>
        <w:wordWrap/>
        <w:overflowPunct/>
        <w:topLinePunct w:val="0"/>
        <w:autoSpaceDE/>
        <w:autoSpaceDN/>
        <w:bidi w:val="0"/>
        <w:adjustRightInd/>
        <w:snapToGrid/>
        <w:spacing w:line="140" w:lineRule="exact"/>
        <w:ind w:firstLine="261" w:firstLineChars="200"/>
        <w:jc w:val="center"/>
        <w:textAlignment w:val="auto"/>
        <w:outlineLvl w:val="0"/>
        <w:rPr>
          <w:rFonts w:hint="eastAsia" w:ascii="宋体" w:hAnsi="宋体" w:eastAsia="宋体" w:cs="宋体"/>
          <w:b/>
          <w:color w:val="000000"/>
          <w:kern w:val="0"/>
          <w:sz w:val="13"/>
          <w:szCs w:val="13"/>
          <w:highlight w:val="none"/>
        </w:rPr>
      </w:pPr>
      <w:r>
        <w:rPr>
          <w:rFonts w:hint="eastAsia" w:ascii="宋体" w:hAnsi="宋体" w:eastAsia="宋体" w:cs="宋体"/>
          <w:b/>
          <w:color w:val="000000"/>
          <w:kern w:val="0"/>
          <w:sz w:val="13"/>
          <w:szCs w:val="13"/>
          <w:highlight w:val="none"/>
        </w:rPr>
        <w:t>第六条 文件往来、通讯和通知</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b/>
          <w:bCs/>
          <w:color w:val="000000"/>
          <w:kern w:val="0"/>
          <w:sz w:val="13"/>
          <w:szCs w:val="13"/>
          <w:highlight w:val="none"/>
        </w:rPr>
      </w:pPr>
      <w:r>
        <w:rPr>
          <w:rFonts w:hint="eastAsia" w:ascii="宋体" w:hAnsi="宋体" w:eastAsia="宋体" w:cs="宋体"/>
          <w:color w:val="000000"/>
          <w:kern w:val="0"/>
          <w:sz w:val="13"/>
          <w:szCs w:val="13"/>
          <w:highlight w:val="none"/>
        </w:rPr>
        <w:t>一、</w:t>
      </w:r>
      <w:r>
        <w:rPr>
          <w:rFonts w:hint="eastAsia" w:ascii="宋体" w:hAnsi="宋体" w:eastAsia="宋体" w:cs="宋体"/>
          <w:b/>
          <w:bCs/>
          <w:color w:val="000000"/>
          <w:kern w:val="0"/>
          <w:sz w:val="13"/>
          <w:szCs w:val="13"/>
          <w:highlight w:val="none"/>
        </w:rPr>
        <w:t>甲方同意并确认按以下地址作为本协议项下通知事项以及发生纠纷时相关诉讼（仲裁）、公证等法律文书（包括但不限于签约各方的各类通知、文件；法院或仲裁庭送达的起诉状（或仲裁申请书）及证据、传票、应诉通知书、举证通知书、开庭通知书、支付令、判决书（裁决书）、裁定书、调解书、执行通知书、限期履行通知书等诉讼或仲裁审理、实现担保物权程序以及执行阶段法律文书；公证机构送达的各类通知和法律文书）送达地址，并进一步同意乙方、公证机构、法院等司法机关以及其他通知和法律文书送达人均有权选择纸质或电子方式送达，其中，电子送达方式包括但不限于电子邮箱、中国审判流程信息公开网、全国统一送达平台、地方性或专门性的法院网络服务平台以及送达人的电子网络平台、电子APP等：</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 xml:space="preserve">（一）甲方住所地； </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（二）甲方在</w:t>
      </w:r>
      <w:r>
        <w:rPr>
          <w:rFonts w:hint="eastAsia" w:ascii="宋体" w:hAnsi="宋体" w:eastAsia="宋体" w:cs="宋体"/>
          <w:bCs/>
          <w:color w:val="000000"/>
          <w:kern w:val="0"/>
          <w:sz w:val="13"/>
          <w:szCs w:val="13"/>
          <w:highlight w:val="none"/>
        </w:rPr>
        <w:t>兴业银行任一分支机构开户并签署账户服务相关协议时预留的联系地址；</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（三）以下电子通讯地址，亦作为有效的送达地址：</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1.甲方已开通的乙方企业/同业金融电子渠道；</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lang w:eastAsia="zh-CN"/>
        </w:rPr>
      </w:pPr>
      <w:r>
        <w:rPr>
          <w:rFonts w:hint="eastAsia" w:ascii="宋体" w:hAnsi="宋体" w:eastAsia="宋体" w:cs="宋体"/>
          <w:color w:val="000000"/>
          <w:kern w:val="0"/>
          <w:sz w:val="13"/>
          <w:szCs w:val="13"/>
          <w:highlight w:val="none"/>
        </w:rPr>
        <w:t>2.甲方用户手机号码、电子邮箱</w:t>
      </w:r>
      <w:r>
        <w:rPr>
          <w:rFonts w:hint="eastAsia" w:ascii="宋体" w:hAnsi="宋体" w:eastAsia="宋体" w:cs="宋体"/>
          <w:color w:val="000000"/>
          <w:kern w:val="0"/>
          <w:sz w:val="13"/>
          <w:szCs w:val="13"/>
          <w:highlight w:val="none"/>
          <w:lang w:eastAsia="zh-CN"/>
        </w:rPr>
        <w:t>。</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二、本条第一款约定的送达地址适用期间包括非诉阶段和争议进入仲裁、诉讼程序后的一审、二审、再审、执行、实现担保物权程序、督促程序以及强制执行公证等所有阶段。如上述送达地址有变更的，甲方应当提前以书面方式通知乙方（诉讼或仲裁期间还应提前书面通知仲裁庭或法院，已办理强制执行公证的还应书面通知原公证机构）重新确认送达地址并取得回执。如未提前通知的，视为未变更，相应法律后果由甲方自行承担，约定的送达地址仍视为有效送达地址。</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三、任何文件、通讯、通知及法律文书，只要按照约定送达地址发送，即应视作在下列日期被送达：</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（一）邮寄（包括特快专递、平信邮寄、挂号邮寄），以邮寄之日后的第五个工作日视为送达日；</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（二）专人送达，以收件人签收之日视为送达日。收件人拒收的，送达人可采取拍照、录像方式记录送达过程，并将文书留置，亦视为送达；</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（三）电子邮件、手机短信或其他电子通讯,以发送之日视为送达日。</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四、因甲方提供或确认的送达的地址不准确、不真实，或送达地址变更后未及时通知对方和仲裁机构、人民法院、公证机构导致无法实际送达的，甲方应自行承担相应法律后果，并视为已有效送达：</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（一）邮寄送达的，以文书退回之日视为送达日；</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lang w:eastAsia="zh-CN"/>
        </w:rPr>
      </w:pPr>
      <w:r>
        <w:rPr>
          <w:rFonts w:hint="eastAsia" w:ascii="宋体" w:hAnsi="宋体" w:eastAsia="宋体" w:cs="宋体"/>
          <w:color w:val="000000"/>
          <w:kern w:val="0"/>
          <w:sz w:val="13"/>
          <w:szCs w:val="13"/>
          <w:highlight w:val="none"/>
        </w:rPr>
        <w:t>（二）专人送达的，送达人当场在送达回证上记明情况之日为送达日</w:t>
      </w:r>
      <w:r>
        <w:rPr>
          <w:rFonts w:hint="eastAsia" w:ascii="宋体" w:hAnsi="宋体" w:eastAsia="宋体" w:cs="宋体"/>
          <w:color w:val="000000"/>
          <w:kern w:val="0"/>
          <w:sz w:val="13"/>
          <w:szCs w:val="13"/>
          <w:highlight w:val="none"/>
          <w:lang w:eastAsia="zh-CN"/>
        </w:rPr>
        <w:t>。</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五、乙方以在其网站、电话银行或营业网点发布公告的方式发送通知的，以公告发布之日视为送达日。乙方在任何不归因于乙方的情况下均无需对邮递、电话或任何其他通讯系统所出现的任何传送失误、缺漏或延迟承担任何责任。</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六、各方约定，各方的单位公章、办公室印章、财务专用章、合同专用章、收发章及乙方的业务专用章等均是各方通知或联系、法律文书送达、信函往来的有效印章。甲方单位所有工作人员是文件往来、通讯和通知的有权签收人。</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lang w:eastAsia="zh-CN"/>
        </w:rPr>
      </w:pPr>
      <w:r>
        <w:rPr>
          <w:rFonts w:hint="eastAsia" w:ascii="宋体" w:hAnsi="宋体" w:eastAsia="宋体" w:cs="宋体"/>
          <w:color w:val="000000"/>
          <w:kern w:val="0"/>
          <w:sz w:val="13"/>
          <w:szCs w:val="13"/>
          <w:highlight w:val="none"/>
        </w:rPr>
        <w:t>七、本条约定为协议中独立存在的条款，不受本协议及协议其他协议效力的影响</w:t>
      </w:r>
      <w:r>
        <w:rPr>
          <w:rFonts w:hint="eastAsia" w:ascii="宋体" w:hAnsi="宋体" w:eastAsia="宋体" w:cs="宋体"/>
          <w:color w:val="000000"/>
          <w:kern w:val="0"/>
          <w:sz w:val="13"/>
          <w:szCs w:val="13"/>
          <w:highlight w:val="none"/>
          <w:lang w:eastAsia="zh-CN"/>
        </w:rPr>
        <w:t>。</w:t>
      </w:r>
    </w:p>
    <w:p>
      <w:pPr>
        <w:keepNext w:val="0"/>
        <w:keepLines w:val="0"/>
        <w:pageBreakBefore w:val="0"/>
        <w:widowControl/>
        <w:kinsoku/>
        <w:wordWrap/>
        <w:overflowPunct/>
        <w:topLinePunct w:val="0"/>
        <w:autoSpaceDE/>
        <w:autoSpaceDN/>
        <w:bidi w:val="0"/>
        <w:adjustRightInd/>
        <w:snapToGrid/>
        <w:spacing w:line="140" w:lineRule="exact"/>
        <w:ind w:firstLine="261" w:firstLineChars="200"/>
        <w:jc w:val="center"/>
        <w:textAlignment w:val="auto"/>
        <w:outlineLvl w:val="0"/>
        <w:rPr>
          <w:rFonts w:hint="eastAsia" w:ascii="宋体" w:hAnsi="宋体" w:eastAsia="宋体" w:cs="宋体"/>
          <w:b/>
          <w:color w:val="000000"/>
          <w:kern w:val="0"/>
          <w:sz w:val="13"/>
          <w:szCs w:val="13"/>
          <w:highlight w:val="none"/>
        </w:rPr>
      </w:pPr>
      <w:r>
        <w:rPr>
          <w:rFonts w:hint="eastAsia" w:ascii="宋体" w:hAnsi="宋体" w:eastAsia="宋体" w:cs="宋体"/>
          <w:b/>
          <w:color w:val="000000"/>
          <w:kern w:val="0"/>
          <w:sz w:val="13"/>
          <w:szCs w:val="13"/>
          <w:highlight w:val="none"/>
        </w:rPr>
        <w:t>第七条 法律适用与管辖</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一、本协议的订立、生效、履行、解除、解释及争议的解决等均适用中华人民共和国法律（为本协议之目的，不包括香港特别行政区、澳门特别行政区和台湾地区的法律）。</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bCs/>
          <w:color w:val="000000"/>
          <w:kern w:val="0"/>
          <w:sz w:val="13"/>
          <w:szCs w:val="13"/>
          <w:highlight w:val="none"/>
        </w:rPr>
        <w:t>二、</w:t>
      </w:r>
      <w:r>
        <w:rPr>
          <w:rFonts w:hint="eastAsia" w:ascii="宋体" w:hAnsi="宋体" w:eastAsia="宋体" w:cs="宋体"/>
          <w:b/>
          <w:bCs/>
          <w:color w:val="000000"/>
          <w:kern w:val="0"/>
          <w:sz w:val="13"/>
          <w:szCs w:val="13"/>
          <w:highlight w:val="none"/>
        </w:rPr>
        <w:t>凡因本协议发生的任何争议，双方应通过友好协商解决；友好协商不成的，双方均同意向乙方住所地之人民法院提起诉讼。</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三、在争议期间，本协议不涉及争议部分的条款仍须履行。</w:t>
      </w:r>
    </w:p>
    <w:p>
      <w:pPr>
        <w:keepNext w:val="0"/>
        <w:keepLines w:val="0"/>
        <w:pageBreakBefore w:val="0"/>
        <w:widowControl/>
        <w:kinsoku/>
        <w:wordWrap/>
        <w:overflowPunct/>
        <w:topLinePunct w:val="0"/>
        <w:autoSpaceDE/>
        <w:autoSpaceDN/>
        <w:bidi w:val="0"/>
        <w:adjustRightInd/>
        <w:snapToGrid/>
        <w:spacing w:line="140" w:lineRule="exact"/>
        <w:jc w:val="both"/>
        <w:textAlignment w:val="auto"/>
        <w:rPr>
          <w:rFonts w:hint="eastAsia" w:ascii="宋体" w:hAnsi="宋体" w:eastAsia="宋体" w:cs="宋体"/>
          <w:color w:val="000000"/>
          <w:kern w:val="0"/>
          <w:sz w:val="13"/>
          <w:szCs w:val="13"/>
          <w:highlight w:val="none"/>
        </w:rPr>
      </w:pPr>
    </w:p>
    <w:p>
      <w:pPr>
        <w:keepNext w:val="0"/>
        <w:keepLines w:val="0"/>
        <w:pageBreakBefore w:val="0"/>
        <w:widowControl/>
        <w:kinsoku/>
        <w:wordWrap/>
        <w:overflowPunct/>
        <w:topLinePunct w:val="0"/>
        <w:autoSpaceDE/>
        <w:autoSpaceDN/>
        <w:bidi w:val="0"/>
        <w:adjustRightInd/>
        <w:snapToGrid/>
        <w:spacing w:line="140" w:lineRule="exact"/>
        <w:ind w:firstLine="261" w:firstLineChars="200"/>
        <w:jc w:val="center"/>
        <w:textAlignment w:val="auto"/>
        <w:outlineLvl w:val="0"/>
        <w:rPr>
          <w:rFonts w:hint="eastAsia" w:ascii="宋体" w:hAnsi="宋体" w:eastAsia="宋体" w:cs="宋体"/>
          <w:b/>
          <w:color w:val="000000"/>
          <w:kern w:val="0"/>
          <w:sz w:val="13"/>
          <w:szCs w:val="13"/>
          <w:highlight w:val="none"/>
        </w:rPr>
      </w:pPr>
      <w:r>
        <w:rPr>
          <w:rFonts w:hint="eastAsia" w:ascii="宋体" w:hAnsi="宋体" w:eastAsia="宋体" w:cs="宋体"/>
          <w:b/>
          <w:color w:val="000000"/>
          <w:kern w:val="0"/>
          <w:sz w:val="13"/>
          <w:szCs w:val="13"/>
          <w:highlight w:val="none"/>
        </w:rPr>
        <w:t>第八条 协议效力及其他事项</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一、乙方正式对外公告/发布（在网站、APP或营业网点）或其他合理方式通知的《兴业银行网上银行章程》、用户隐私条款、客户使用手册等文件（含后续修订版本），以及经乙方审核同意的甲方所填写或提供的申请表、资料及其他与本协议有关的文件（包含电子和非电子形式），构成本协议的组成部分。</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若本协议与其他甲乙双方间既有协议或约定有冲突，涉及企业/同业金融电子渠道业务的，应以本协议为准。</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二、乙方提供的企业/同业金融电子渠道服务受甲方签约账户情况的制约，如该账户挂失、止付、法律冻结等原因不能使用，相关服务自动中止。甲方签约账户状态恢复正常时，乙方重新提供相应服务。</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b/>
          <w:bCs/>
          <w:color w:val="000000"/>
          <w:kern w:val="0"/>
          <w:sz w:val="13"/>
          <w:szCs w:val="13"/>
          <w:highlight w:val="none"/>
        </w:rPr>
      </w:pPr>
      <w:r>
        <w:rPr>
          <w:rFonts w:hint="eastAsia" w:ascii="宋体" w:hAnsi="宋体" w:eastAsia="宋体" w:cs="宋体"/>
          <w:color w:val="000000"/>
          <w:kern w:val="0"/>
          <w:sz w:val="13"/>
          <w:szCs w:val="13"/>
          <w:highlight w:val="none"/>
        </w:rPr>
        <w:t>三、</w:t>
      </w:r>
      <w:r>
        <w:rPr>
          <w:rFonts w:hint="eastAsia" w:ascii="宋体" w:hAnsi="宋体" w:eastAsia="宋体" w:cs="宋体"/>
          <w:b/>
          <w:bCs/>
          <w:color w:val="000000"/>
          <w:kern w:val="0"/>
          <w:sz w:val="13"/>
          <w:szCs w:val="13"/>
          <w:highlight w:val="none"/>
        </w:rPr>
        <w:t>甲方企业/同业金融电子渠道注销手续办理完毕，本协议即为终止。协议终止后，甲方无需退给乙方数字证书，乙方亦不退还其工本费。在甲方违反本协议规定或其他乙方业务规定的情况下，乙方有权中止或终止本协议。协议终止并不意味着终止前所发生的未完成交易指令的撤销，也不能消除终止前的交易所带来的任何法律后果。</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四、在本协议生效期间，乙方给予甲方的任何宽容、宽限或延缓行使本协议中享有的权益或权利，均不损害、影响或限制乙方依有关法律规定和本协议应享有的一切权益和权利，不应视为乙方对本协议项下权利、权益的放弃，不影响甲方在本协议项下的任何义务。</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both"/>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五、本协议的任何条款如因任何原因而被确认无效，都不影响本协议其他条款的效力。</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left"/>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六、乙方不介入甲方与任何第三方之间的交易纠纷，但在法律允许范围内可协助甲方查明交易情况；因甲方与第三方间纠纷造成乙方损失的，甲方应向乙方承担赔偿责任。</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left"/>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七、</w:t>
      </w:r>
      <w:r>
        <w:rPr>
          <w:rFonts w:hint="eastAsia" w:ascii="宋体" w:hAnsi="宋体" w:eastAsia="宋体" w:cs="宋体"/>
          <w:color w:val="000000"/>
          <w:kern w:val="0"/>
          <w:sz w:val="13"/>
          <w:szCs w:val="13"/>
          <w:highlight w:val="none"/>
          <w:lang w:val="en-US" w:eastAsia="zh-CN"/>
        </w:rPr>
        <w:t>本协议如以纸质形式签署，且作为《对公客户开户及产品综合服务总协议》子协议使用时，总协议生效之日起本协议生效，双方无需就本协议单独签名或盖章；本协议单独使用时，</w:t>
      </w:r>
      <w:r>
        <w:rPr>
          <w:rFonts w:hint="eastAsia" w:ascii="宋体" w:hAnsi="宋体" w:eastAsia="宋体" w:cs="宋体"/>
          <w:color w:val="000000"/>
          <w:kern w:val="0"/>
          <w:sz w:val="13"/>
          <w:szCs w:val="13"/>
          <w:highlight w:val="none"/>
        </w:rPr>
        <w:t>则自立约双方法定代表人/负责人或授权代理人签字或加盖公章之日起生效，正本壹式两份，甲、乙双方各执壹份，均具同等效力。</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left"/>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lang w:val="en-US" w:eastAsia="zh-CN"/>
        </w:rPr>
        <w:t>八、</w:t>
      </w:r>
      <w:r>
        <w:rPr>
          <w:rFonts w:hint="eastAsia" w:ascii="宋体" w:hAnsi="宋体" w:eastAsia="宋体" w:cs="宋体"/>
          <w:b/>
          <w:bCs/>
          <w:color w:val="000000"/>
          <w:kern w:val="0"/>
          <w:sz w:val="13"/>
          <w:szCs w:val="13"/>
          <w:highlight w:val="none"/>
        </w:rPr>
        <w:t>本协议</w:t>
      </w:r>
      <w:r>
        <w:rPr>
          <w:rFonts w:hint="eastAsia" w:ascii="宋体" w:hAnsi="宋体" w:eastAsia="宋体" w:cs="宋体"/>
          <w:b/>
          <w:bCs/>
          <w:color w:val="000000"/>
          <w:kern w:val="0"/>
          <w:sz w:val="13"/>
          <w:szCs w:val="13"/>
          <w:highlight w:val="none"/>
          <w:lang w:val="en-US" w:eastAsia="zh-CN"/>
        </w:rPr>
        <w:t>如以</w:t>
      </w:r>
      <w:r>
        <w:rPr>
          <w:rFonts w:hint="eastAsia" w:ascii="宋体" w:hAnsi="宋体" w:eastAsia="宋体" w:cs="宋体"/>
          <w:b/>
          <w:bCs/>
          <w:color w:val="000000"/>
          <w:kern w:val="0"/>
          <w:sz w:val="13"/>
          <w:szCs w:val="13"/>
          <w:highlight w:val="none"/>
        </w:rPr>
        <w:t>数据电文形式</w:t>
      </w:r>
      <w:r>
        <w:rPr>
          <w:rFonts w:hint="eastAsia" w:ascii="宋体" w:hAnsi="宋体" w:eastAsia="宋体" w:cs="宋体"/>
          <w:b/>
          <w:bCs/>
          <w:color w:val="000000"/>
          <w:kern w:val="0"/>
          <w:sz w:val="13"/>
          <w:szCs w:val="13"/>
          <w:highlight w:val="none"/>
          <w:lang w:val="en-US" w:eastAsia="zh-CN"/>
        </w:rPr>
        <w:t>签署</w:t>
      </w:r>
      <w:r>
        <w:rPr>
          <w:rFonts w:hint="eastAsia" w:ascii="宋体" w:hAnsi="宋体" w:eastAsia="宋体" w:cs="宋体"/>
          <w:b/>
          <w:bCs/>
          <w:color w:val="000000"/>
          <w:kern w:val="0"/>
          <w:sz w:val="13"/>
          <w:szCs w:val="13"/>
          <w:highlight w:val="none"/>
        </w:rPr>
        <w:t>，自签约业务指令由甲方用户通过企业/同业金融电子渠道使用客户证书完成电子签名（形式上包括但不限于用户在签约页面主动点击、勾选“确认”、“同意”等）并提交乙方之时起生效。</w:t>
      </w:r>
      <w:r>
        <w:rPr>
          <w:rFonts w:hint="eastAsia" w:ascii="宋体" w:hAnsi="宋体" w:eastAsia="宋体" w:cs="宋体"/>
          <w:color w:val="000000"/>
          <w:kern w:val="0"/>
          <w:sz w:val="13"/>
          <w:szCs w:val="13"/>
          <w:highlight w:val="none"/>
        </w:rPr>
        <w:t>本协议以数据电文的形式存储在乙方为此设立的专用服务器上备查和保管，双方均知晓并认可该形式的合同具有法律效力</w:t>
      </w:r>
      <w:r>
        <w:rPr>
          <w:rFonts w:hint="eastAsia" w:ascii="宋体" w:hAnsi="宋体" w:eastAsia="宋体" w:cs="宋体"/>
          <w:color w:val="000000"/>
          <w:kern w:val="0"/>
          <w:sz w:val="13"/>
          <w:szCs w:val="13"/>
          <w:highlight w:val="none"/>
          <w:lang w:val="en-US" w:eastAsia="zh-CN"/>
        </w:rPr>
        <w:t>，打印纸质协议内容与之不一致的，以乙方保存的数据电文所展示的协议内容为准</w:t>
      </w:r>
      <w:r>
        <w:rPr>
          <w:rFonts w:hint="eastAsia" w:ascii="宋体" w:hAnsi="宋体" w:eastAsia="宋体" w:cs="宋体"/>
          <w:color w:val="000000"/>
          <w:kern w:val="0"/>
          <w:sz w:val="13"/>
          <w:szCs w:val="13"/>
          <w:highlight w:val="none"/>
        </w:rPr>
        <w:t>。</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left"/>
        <w:textAlignment w:val="auto"/>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lang w:val="en-US" w:eastAsia="zh-CN"/>
        </w:rPr>
        <w:t>九</w:t>
      </w:r>
      <w:r>
        <w:rPr>
          <w:rFonts w:hint="eastAsia" w:ascii="宋体" w:hAnsi="宋体" w:eastAsia="宋体" w:cs="宋体"/>
          <w:color w:val="000000"/>
          <w:kern w:val="0"/>
          <w:sz w:val="13"/>
          <w:szCs w:val="13"/>
          <w:highlight w:val="none"/>
        </w:rPr>
        <w:t>、本协议有效期一年。在本协议期满前30日内，双方无书面异议的，协议期限自动延长一年，延长期限自本协议约定的到期日的次日起算。依此类推，延期次数不限。</w:t>
      </w:r>
    </w:p>
    <w:p>
      <w:pPr>
        <w:keepNext w:val="0"/>
        <w:keepLines w:val="0"/>
        <w:pageBreakBefore w:val="0"/>
        <w:widowControl/>
        <w:kinsoku/>
        <w:wordWrap/>
        <w:overflowPunct/>
        <w:topLinePunct w:val="0"/>
        <w:autoSpaceDE/>
        <w:autoSpaceDN/>
        <w:bidi w:val="0"/>
        <w:adjustRightInd/>
        <w:snapToGrid/>
        <w:spacing w:line="140" w:lineRule="exact"/>
        <w:ind w:firstLine="260" w:firstLineChars="200"/>
        <w:jc w:val="left"/>
        <w:textAlignment w:val="auto"/>
        <w:rPr>
          <w:rFonts w:hint="eastAsia" w:ascii="宋体" w:hAnsi="宋体" w:eastAsia="宋体" w:cs="宋体"/>
          <w:sz w:val="13"/>
          <w:szCs w:val="13"/>
          <w:highlight w:val="none"/>
        </w:rPr>
      </w:pPr>
    </w:p>
    <w:p>
      <w:pPr>
        <w:keepNext w:val="0"/>
        <w:keepLines w:val="0"/>
        <w:pageBreakBefore w:val="0"/>
        <w:widowControl/>
        <w:kinsoku/>
        <w:wordWrap/>
        <w:overflowPunct/>
        <w:topLinePunct w:val="0"/>
        <w:autoSpaceDE/>
        <w:autoSpaceDN/>
        <w:bidi w:val="0"/>
        <w:adjustRightInd/>
        <w:snapToGrid/>
        <w:spacing w:line="140" w:lineRule="exact"/>
        <w:jc w:val="left"/>
        <w:textAlignment w:val="auto"/>
        <w:rPr>
          <w:rFonts w:hint="eastAsia" w:ascii="宋体" w:hAnsi="宋体" w:eastAsia="宋体" w:cs="宋体"/>
          <w:color w:val="000000"/>
          <w:kern w:val="0"/>
          <w:sz w:val="13"/>
          <w:szCs w:val="13"/>
          <w:highlight w:val="none"/>
        </w:rPr>
      </w:pPr>
    </w:p>
    <w:p>
      <w:pPr>
        <w:widowControl/>
        <w:spacing w:line="140" w:lineRule="exact"/>
        <w:jc w:val="left"/>
        <w:rPr>
          <w:rFonts w:hint="eastAsia" w:ascii="宋体" w:hAnsi="宋体" w:eastAsia="宋体" w:cs="宋体"/>
          <w:color w:val="000000"/>
          <w:kern w:val="0"/>
          <w:sz w:val="13"/>
          <w:szCs w:val="13"/>
          <w:highlight w:val="none"/>
        </w:rPr>
      </w:pPr>
    </w:p>
    <w:p>
      <w:pPr>
        <w:widowControl/>
        <w:spacing w:line="140" w:lineRule="exact"/>
        <w:jc w:val="left"/>
        <w:rPr>
          <w:rFonts w:hint="eastAsia" w:ascii="宋体" w:hAnsi="宋体" w:eastAsia="宋体" w:cs="宋体"/>
          <w:color w:val="000000"/>
          <w:kern w:val="0"/>
          <w:sz w:val="13"/>
          <w:szCs w:val="13"/>
          <w:highlight w:val="none"/>
        </w:rPr>
      </w:pPr>
    </w:p>
    <w:p>
      <w:pPr>
        <w:widowControl/>
        <w:spacing w:line="140" w:lineRule="exact"/>
        <w:ind w:firstLine="260" w:firstLineChars="200"/>
        <w:jc w:val="left"/>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 xml:space="preserve">甲方（公章）：                         </w:t>
      </w:r>
      <w:r>
        <w:rPr>
          <w:rFonts w:hint="eastAsia" w:ascii="宋体" w:hAnsi="宋体" w:eastAsia="宋体" w:cs="宋体"/>
          <w:color w:val="000000"/>
          <w:kern w:val="0"/>
          <w:sz w:val="13"/>
          <w:szCs w:val="13"/>
          <w:highlight w:val="none"/>
          <w:lang w:val="en-US" w:eastAsia="zh-CN"/>
        </w:rPr>
        <w:t xml:space="preserve">                               </w:t>
      </w:r>
      <w:r>
        <w:rPr>
          <w:rFonts w:hint="eastAsia" w:ascii="宋体" w:hAnsi="宋体" w:eastAsia="宋体" w:cs="宋体"/>
          <w:color w:val="000000"/>
          <w:kern w:val="0"/>
          <w:sz w:val="13"/>
          <w:szCs w:val="13"/>
          <w:highlight w:val="none"/>
        </w:rPr>
        <w:t xml:space="preserve">   乙方（单位印章）：</w:t>
      </w:r>
    </w:p>
    <w:p>
      <w:pPr>
        <w:widowControl/>
        <w:spacing w:line="140" w:lineRule="exact"/>
        <w:ind w:firstLine="260" w:firstLineChars="200"/>
        <w:jc w:val="left"/>
        <w:rPr>
          <w:rFonts w:hint="default" w:ascii="宋体" w:hAnsi="宋体" w:eastAsia="宋体" w:cs="宋体"/>
          <w:color w:val="000000"/>
          <w:kern w:val="0"/>
          <w:sz w:val="13"/>
          <w:szCs w:val="13"/>
          <w:highlight w:val="none"/>
          <w:lang w:val="en-US" w:eastAsia="zh-CN"/>
        </w:rPr>
      </w:pPr>
      <w:r>
        <w:rPr>
          <w:rFonts w:hint="eastAsia" w:ascii="宋体" w:hAnsi="宋体" w:eastAsia="宋体" w:cs="宋体"/>
          <w:color w:val="000000"/>
          <w:kern w:val="0"/>
          <w:sz w:val="13"/>
          <w:szCs w:val="13"/>
          <w:highlight w:val="none"/>
          <w:lang w:val="en-US" w:eastAsia="zh-CN"/>
        </w:rPr>
        <w:t xml:space="preserve">    </w:t>
      </w:r>
    </w:p>
    <w:p>
      <w:pPr>
        <w:widowControl/>
        <w:snapToGrid/>
        <w:spacing w:line="140" w:lineRule="exact"/>
        <w:ind w:firstLine="260" w:firstLineChars="200"/>
        <w:jc w:val="left"/>
        <w:rPr>
          <w:rFonts w:hint="eastAsia" w:ascii="宋体" w:hAnsi="宋体" w:eastAsia="宋体" w:cs="宋体"/>
          <w:color w:val="000000"/>
          <w:kern w:val="0"/>
          <w:sz w:val="13"/>
          <w:szCs w:val="13"/>
          <w:highlight w:val="none"/>
        </w:rPr>
      </w:pPr>
    </w:p>
    <w:p>
      <w:pPr>
        <w:widowControl/>
        <w:snapToGrid/>
        <w:spacing w:line="140" w:lineRule="exact"/>
        <w:ind w:firstLine="260" w:firstLineChars="200"/>
        <w:jc w:val="left"/>
        <w:rPr>
          <w:rFonts w:hint="eastAsia" w:ascii="宋体" w:hAnsi="宋体" w:eastAsia="宋体" w:cs="宋体"/>
          <w:color w:val="000000"/>
          <w:kern w:val="0"/>
          <w:sz w:val="13"/>
          <w:szCs w:val="13"/>
          <w:highlight w:val="none"/>
        </w:rPr>
      </w:pPr>
    </w:p>
    <w:p>
      <w:pPr>
        <w:widowControl/>
        <w:snapToGrid/>
        <w:spacing w:line="140" w:lineRule="exact"/>
        <w:ind w:firstLine="260" w:firstLineChars="200"/>
        <w:jc w:val="left"/>
        <w:rPr>
          <w:rFonts w:hint="eastAsia" w:ascii="宋体" w:hAnsi="宋体" w:eastAsia="宋体" w:cs="宋体"/>
          <w:color w:val="000000"/>
          <w:kern w:val="0"/>
          <w:sz w:val="13"/>
          <w:szCs w:val="13"/>
          <w:highlight w:val="none"/>
        </w:rPr>
      </w:pPr>
    </w:p>
    <w:p>
      <w:pPr>
        <w:widowControl/>
        <w:snapToGrid/>
        <w:spacing w:line="140" w:lineRule="exact"/>
        <w:ind w:firstLine="260" w:firstLineChars="200"/>
        <w:jc w:val="left"/>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 xml:space="preserve">法定代表人或有权人（签章）：          </w:t>
      </w:r>
      <w:r>
        <w:rPr>
          <w:rFonts w:hint="eastAsia" w:ascii="宋体" w:hAnsi="宋体" w:eastAsia="宋体" w:cs="宋体"/>
          <w:color w:val="000000"/>
          <w:kern w:val="0"/>
          <w:sz w:val="13"/>
          <w:szCs w:val="13"/>
          <w:highlight w:val="none"/>
          <w:lang w:val="en-US" w:eastAsia="zh-CN"/>
        </w:rPr>
        <w:t xml:space="preserve">                               </w:t>
      </w:r>
      <w:r>
        <w:rPr>
          <w:rFonts w:hint="eastAsia" w:ascii="宋体" w:hAnsi="宋体" w:eastAsia="宋体" w:cs="宋体"/>
          <w:color w:val="000000"/>
          <w:kern w:val="0"/>
          <w:sz w:val="13"/>
          <w:szCs w:val="13"/>
          <w:highlight w:val="none"/>
        </w:rPr>
        <w:t xml:space="preserve">    负责人或有权人（签章）：</w:t>
      </w:r>
    </w:p>
    <w:p>
      <w:pPr>
        <w:widowControl/>
        <w:spacing w:line="140" w:lineRule="exact"/>
        <w:ind w:firstLine="260" w:firstLineChars="200"/>
        <w:jc w:val="left"/>
        <w:rPr>
          <w:rFonts w:hint="eastAsia" w:ascii="宋体" w:hAnsi="宋体" w:eastAsia="宋体" w:cs="宋体"/>
          <w:color w:val="000000"/>
          <w:kern w:val="0"/>
          <w:sz w:val="13"/>
          <w:szCs w:val="13"/>
          <w:highlight w:val="none"/>
        </w:rPr>
      </w:pPr>
    </w:p>
    <w:p>
      <w:pPr>
        <w:widowControl/>
        <w:spacing w:line="140" w:lineRule="exact"/>
        <w:ind w:firstLine="260" w:firstLineChars="200"/>
        <w:jc w:val="left"/>
        <w:rPr>
          <w:rFonts w:hint="eastAsia" w:ascii="宋体" w:hAnsi="宋体" w:eastAsia="宋体" w:cs="宋体"/>
          <w:color w:val="000000"/>
          <w:kern w:val="0"/>
          <w:sz w:val="13"/>
          <w:szCs w:val="13"/>
          <w:highlight w:val="none"/>
        </w:rPr>
      </w:pPr>
      <w:r>
        <w:rPr>
          <w:rFonts w:hint="eastAsia" w:ascii="宋体" w:hAnsi="宋体" w:eastAsia="宋体" w:cs="宋体"/>
          <w:color w:val="000000"/>
          <w:kern w:val="0"/>
          <w:sz w:val="13"/>
          <w:szCs w:val="13"/>
          <w:highlight w:val="none"/>
        </w:rPr>
        <w:t xml:space="preserve">年   月   日                      </w:t>
      </w:r>
      <w:r>
        <w:rPr>
          <w:rFonts w:hint="eastAsia" w:ascii="宋体" w:hAnsi="宋体" w:eastAsia="宋体" w:cs="宋体"/>
          <w:color w:val="000000"/>
          <w:kern w:val="0"/>
          <w:sz w:val="13"/>
          <w:szCs w:val="13"/>
          <w:highlight w:val="none"/>
          <w:lang w:val="en-US" w:eastAsia="zh-CN"/>
        </w:rPr>
        <w:t xml:space="preserve">                                </w:t>
      </w:r>
      <w:r>
        <w:rPr>
          <w:rFonts w:hint="eastAsia" w:ascii="宋体" w:hAnsi="宋体" w:eastAsia="宋体" w:cs="宋体"/>
          <w:color w:val="000000"/>
          <w:kern w:val="0"/>
          <w:sz w:val="13"/>
          <w:szCs w:val="13"/>
          <w:highlight w:val="none"/>
        </w:rPr>
        <w:t xml:space="preserve">       年   月   日</w:t>
      </w:r>
    </w:p>
    <w:p>
      <w:pPr>
        <w:widowControl/>
        <w:spacing w:line="140" w:lineRule="exact"/>
        <w:ind w:firstLine="260" w:firstLineChars="200"/>
        <w:jc w:val="left"/>
        <w:rPr>
          <w:rFonts w:hint="eastAsia" w:ascii="宋体" w:hAnsi="宋体" w:eastAsia="宋体" w:cs="宋体"/>
          <w:sz w:val="13"/>
          <w:szCs w:val="13"/>
          <w:highlight w:val="none"/>
        </w:rPr>
      </w:pPr>
    </w:p>
    <w:sectPr>
      <w:footerReference r:id="rId3" w:type="default"/>
      <w:pgSz w:w="11906" w:h="16838"/>
      <w:pgMar w:top="283" w:right="283" w:bottom="283" w:left="283" w:header="0" w:footer="0"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5AA"/>
    <w:rsid w:val="000151EA"/>
    <w:rsid w:val="00037593"/>
    <w:rsid w:val="00050573"/>
    <w:rsid w:val="00053E5F"/>
    <w:rsid w:val="00094D89"/>
    <w:rsid w:val="000B3614"/>
    <w:rsid w:val="000C1A99"/>
    <w:rsid w:val="001119E8"/>
    <w:rsid w:val="00130EC2"/>
    <w:rsid w:val="00143EBD"/>
    <w:rsid w:val="001B7504"/>
    <w:rsid w:val="001C0117"/>
    <w:rsid w:val="001E74F4"/>
    <w:rsid w:val="001F48D3"/>
    <w:rsid w:val="001F4DEB"/>
    <w:rsid w:val="002126FD"/>
    <w:rsid w:val="002239EB"/>
    <w:rsid w:val="002243EB"/>
    <w:rsid w:val="0027783A"/>
    <w:rsid w:val="002B4EAA"/>
    <w:rsid w:val="00354920"/>
    <w:rsid w:val="00360D4A"/>
    <w:rsid w:val="003776A7"/>
    <w:rsid w:val="00381442"/>
    <w:rsid w:val="003A0F7E"/>
    <w:rsid w:val="003A1E58"/>
    <w:rsid w:val="003C64C9"/>
    <w:rsid w:val="003D4A5A"/>
    <w:rsid w:val="003F029F"/>
    <w:rsid w:val="0040111D"/>
    <w:rsid w:val="00466AA8"/>
    <w:rsid w:val="00483C25"/>
    <w:rsid w:val="00493F26"/>
    <w:rsid w:val="004A6FED"/>
    <w:rsid w:val="004C0E41"/>
    <w:rsid w:val="004C60F7"/>
    <w:rsid w:val="004C74DC"/>
    <w:rsid w:val="004F50D1"/>
    <w:rsid w:val="0052749F"/>
    <w:rsid w:val="005405F2"/>
    <w:rsid w:val="0054315D"/>
    <w:rsid w:val="00563444"/>
    <w:rsid w:val="00564A08"/>
    <w:rsid w:val="005B6922"/>
    <w:rsid w:val="005D23A5"/>
    <w:rsid w:val="00640373"/>
    <w:rsid w:val="00643B1E"/>
    <w:rsid w:val="00663985"/>
    <w:rsid w:val="00671B27"/>
    <w:rsid w:val="00676CDE"/>
    <w:rsid w:val="006876C2"/>
    <w:rsid w:val="006A583F"/>
    <w:rsid w:val="006B101E"/>
    <w:rsid w:val="006B77F2"/>
    <w:rsid w:val="006C6A3B"/>
    <w:rsid w:val="006D2937"/>
    <w:rsid w:val="006D7804"/>
    <w:rsid w:val="006E0C44"/>
    <w:rsid w:val="006F7D74"/>
    <w:rsid w:val="007057B8"/>
    <w:rsid w:val="00750502"/>
    <w:rsid w:val="007650F1"/>
    <w:rsid w:val="0079351E"/>
    <w:rsid w:val="007A4325"/>
    <w:rsid w:val="007B09DA"/>
    <w:rsid w:val="007F1C88"/>
    <w:rsid w:val="00802A99"/>
    <w:rsid w:val="00854D03"/>
    <w:rsid w:val="0087760D"/>
    <w:rsid w:val="008C615B"/>
    <w:rsid w:val="008C75B8"/>
    <w:rsid w:val="008D0DD5"/>
    <w:rsid w:val="00931FB2"/>
    <w:rsid w:val="009415AA"/>
    <w:rsid w:val="00951B00"/>
    <w:rsid w:val="00963E33"/>
    <w:rsid w:val="009663FF"/>
    <w:rsid w:val="00977AD7"/>
    <w:rsid w:val="009838FC"/>
    <w:rsid w:val="00992730"/>
    <w:rsid w:val="00A15426"/>
    <w:rsid w:val="00A436F1"/>
    <w:rsid w:val="00A668B3"/>
    <w:rsid w:val="00A8691D"/>
    <w:rsid w:val="00AA2F1B"/>
    <w:rsid w:val="00AC0584"/>
    <w:rsid w:val="00AD5E5B"/>
    <w:rsid w:val="00AE560B"/>
    <w:rsid w:val="00AE6D45"/>
    <w:rsid w:val="00B07096"/>
    <w:rsid w:val="00B07473"/>
    <w:rsid w:val="00B07D88"/>
    <w:rsid w:val="00B310EC"/>
    <w:rsid w:val="00B3315B"/>
    <w:rsid w:val="00B6259C"/>
    <w:rsid w:val="00B62806"/>
    <w:rsid w:val="00B67418"/>
    <w:rsid w:val="00B848D1"/>
    <w:rsid w:val="00BA51AD"/>
    <w:rsid w:val="00BF5E62"/>
    <w:rsid w:val="00C0411F"/>
    <w:rsid w:val="00C10739"/>
    <w:rsid w:val="00C11787"/>
    <w:rsid w:val="00C31428"/>
    <w:rsid w:val="00C36FA0"/>
    <w:rsid w:val="00C456E4"/>
    <w:rsid w:val="00C55992"/>
    <w:rsid w:val="00C85DC0"/>
    <w:rsid w:val="00CC0E81"/>
    <w:rsid w:val="00D061E5"/>
    <w:rsid w:val="00D41A25"/>
    <w:rsid w:val="00D64A2F"/>
    <w:rsid w:val="00D90AEA"/>
    <w:rsid w:val="00E01B85"/>
    <w:rsid w:val="00E42FE3"/>
    <w:rsid w:val="00E46FDB"/>
    <w:rsid w:val="00EA0561"/>
    <w:rsid w:val="00EC0AC2"/>
    <w:rsid w:val="00EE14CF"/>
    <w:rsid w:val="00F01CC6"/>
    <w:rsid w:val="00F02F19"/>
    <w:rsid w:val="00F66A14"/>
    <w:rsid w:val="00F70EE5"/>
    <w:rsid w:val="00F84CA2"/>
    <w:rsid w:val="00F8785A"/>
    <w:rsid w:val="00FA47F8"/>
    <w:rsid w:val="00FC5E0A"/>
    <w:rsid w:val="00FC5E8B"/>
    <w:rsid w:val="00FF2342"/>
    <w:rsid w:val="00FF5496"/>
    <w:rsid w:val="04883985"/>
    <w:rsid w:val="057F78CB"/>
    <w:rsid w:val="05823E3C"/>
    <w:rsid w:val="079704E4"/>
    <w:rsid w:val="08401A36"/>
    <w:rsid w:val="09A137B2"/>
    <w:rsid w:val="09EF326D"/>
    <w:rsid w:val="0B773AD3"/>
    <w:rsid w:val="0B8F5A13"/>
    <w:rsid w:val="0C3558DA"/>
    <w:rsid w:val="0E092CD8"/>
    <w:rsid w:val="0E302A36"/>
    <w:rsid w:val="0E45538B"/>
    <w:rsid w:val="0F166C29"/>
    <w:rsid w:val="0F4F2D4E"/>
    <w:rsid w:val="0FE31C55"/>
    <w:rsid w:val="0FE8394B"/>
    <w:rsid w:val="129D01CD"/>
    <w:rsid w:val="12E46458"/>
    <w:rsid w:val="13A159C2"/>
    <w:rsid w:val="14AA5CA8"/>
    <w:rsid w:val="14E44A39"/>
    <w:rsid w:val="154A55FA"/>
    <w:rsid w:val="15DC77CC"/>
    <w:rsid w:val="167C48EC"/>
    <w:rsid w:val="18D16E7C"/>
    <w:rsid w:val="1BB8205E"/>
    <w:rsid w:val="1C8C03F6"/>
    <w:rsid w:val="1D381039"/>
    <w:rsid w:val="1DCE357C"/>
    <w:rsid w:val="1E0365F2"/>
    <w:rsid w:val="1F336428"/>
    <w:rsid w:val="1F5133F8"/>
    <w:rsid w:val="1F7D290F"/>
    <w:rsid w:val="1FAC7F64"/>
    <w:rsid w:val="20282F0B"/>
    <w:rsid w:val="205C1B41"/>
    <w:rsid w:val="2157745F"/>
    <w:rsid w:val="2201441D"/>
    <w:rsid w:val="22332BFE"/>
    <w:rsid w:val="228F31F7"/>
    <w:rsid w:val="239E18AC"/>
    <w:rsid w:val="24913394"/>
    <w:rsid w:val="269E4BD3"/>
    <w:rsid w:val="270D09F9"/>
    <w:rsid w:val="2764188E"/>
    <w:rsid w:val="27905FE6"/>
    <w:rsid w:val="28106475"/>
    <w:rsid w:val="2BEA137D"/>
    <w:rsid w:val="2C9D0948"/>
    <w:rsid w:val="2CD8703C"/>
    <w:rsid w:val="2DA54E66"/>
    <w:rsid w:val="2F1C7423"/>
    <w:rsid w:val="2FB07598"/>
    <w:rsid w:val="2FC375EE"/>
    <w:rsid w:val="302C419E"/>
    <w:rsid w:val="307A1F60"/>
    <w:rsid w:val="30FE2B92"/>
    <w:rsid w:val="3142336A"/>
    <w:rsid w:val="32DC56FB"/>
    <w:rsid w:val="3471240F"/>
    <w:rsid w:val="35284320"/>
    <w:rsid w:val="35704B38"/>
    <w:rsid w:val="35E873DE"/>
    <w:rsid w:val="37060C36"/>
    <w:rsid w:val="374404DD"/>
    <w:rsid w:val="3A150E93"/>
    <w:rsid w:val="3AEF1127"/>
    <w:rsid w:val="3BD559D2"/>
    <w:rsid w:val="3C613E6B"/>
    <w:rsid w:val="3CDE60FB"/>
    <w:rsid w:val="3D4D4762"/>
    <w:rsid w:val="3E7D2637"/>
    <w:rsid w:val="3F076B4D"/>
    <w:rsid w:val="419E2601"/>
    <w:rsid w:val="41B469C3"/>
    <w:rsid w:val="42E23F53"/>
    <w:rsid w:val="42EC64BC"/>
    <w:rsid w:val="44331285"/>
    <w:rsid w:val="44410E2F"/>
    <w:rsid w:val="44E12DE8"/>
    <w:rsid w:val="44E4705A"/>
    <w:rsid w:val="44E809D4"/>
    <w:rsid w:val="45251A7B"/>
    <w:rsid w:val="45682824"/>
    <w:rsid w:val="45D02CF7"/>
    <w:rsid w:val="46220437"/>
    <w:rsid w:val="47270303"/>
    <w:rsid w:val="47B93BC7"/>
    <w:rsid w:val="47DB3575"/>
    <w:rsid w:val="484007E0"/>
    <w:rsid w:val="48562D01"/>
    <w:rsid w:val="499E5BED"/>
    <w:rsid w:val="49D2759A"/>
    <w:rsid w:val="4D6E44B5"/>
    <w:rsid w:val="4E0141FD"/>
    <w:rsid w:val="4E7246A6"/>
    <w:rsid w:val="4FD501CD"/>
    <w:rsid w:val="50226763"/>
    <w:rsid w:val="505E21F7"/>
    <w:rsid w:val="52417B9D"/>
    <w:rsid w:val="5429005A"/>
    <w:rsid w:val="54741C33"/>
    <w:rsid w:val="56F465E0"/>
    <w:rsid w:val="56FE3EE2"/>
    <w:rsid w:val="5886208B"/>
    <w:rsid w:val="59732151"/>
    <w:rsid w:val="598B19C9"/>
    <w:rsid w:val="5A3630A4"/>
    <w:rsid w:val="5AC00A9F"/>
    <w:rsid w:val="5B227130"/>
    <w:rsid w:val="5BE25932"/>
    <w:rsid w:val="5CD62B8B"/>
    <w:rsid w:val="5D51600F"/>
    <w:rsid w:val="5E5611F8"/>
    <w:rsid w:val="60E722CD"/>
    <w:rsid w:val="60E81954"/>
    <w:rsid w:val="61CF2D9E"/>
    <w:rsid w:val="61DC065B"/>
    <w:rsid w:val="622C7BA8"/>
    <w:rsid w:val="63621E8D"/>
    <w:rsid w:val="636B053E"/>
    <w:rsid w:val="63823226"/>
    <w:rsid w:val="663D3378"/>
    <w:rsid w:val="67B53DE5"/>
    <w:rsid w:val="67D87CDD"/>
    <w:rsid w:val="682777E8"/>
    <w:rsid w:val="68665439"/>
    <w:rsid w:val="69850E0B"/>
    <w:rsid w:val="69FD13E0"/>
    <w:rsid w:val="6A3D50D3"/>
    <w:rsid w:val="6A402233"/>
    <w:rsid w:val="6ACD24B8"/>
    <w:rsid w:val="6C3974B4"/>
    <w:rsid w:val="6EC65FF1"/>
    <w:rsid w:val="6F54787A"/>
    <w:rsid w:val="708C4805"/>
    <w:rsid w:val="709C1FA1"/>
    <w:rsid w:val="713C0F08"/>
    <w:rsid w:val="71C976DC"/>
    <w:rsid w:val="72191F30"/>
    <w:rsid w:val="73982BC8"/>
    <w:rsid w:val="73D305DD"/>
    <w:rsid w:val="73DE27E5"/>
    <w:rsid w:val="74631F56"/>
    <w:rsid w:val="749762E9"/>
    <w:rsid w:val="772F0BA0"/>
    <w:rsid w:val="780B2F09"/>
    <w:rsid w:val="79EE0FCC"/>
    <w:rsid w:val="7B967796"/>
    <w:rsid w:val="7C774CFF"/>
    <w:rsid w:val="7CAD698C"/>
    <w:rsid w:val="7CE2768C"/>
    <w:rsid w:val="7D632ED5"/>
    <w:rsid w:val="7D9520A7"/>
    <w:rsid w:val="7DCC387A"/>
    <w:rsid w:val="7F091DB3"/>
    <w:rsid w:val="7FB9A13D"/>
    <w:rsid w:val="BBFFDF62"/>
    <w:rsid w:val="EFAF5856"/>
    <w:rsid w:val="FBFFA8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Title"/>
    <w:basedOn w:val="1"/>
    <w:next w:val="1"/>
    <w:link w:val="16"/>
    <w:qFormat/>
    <w:uiPriority w:val="0"/>
    <w:pPr>
      <w:spacing w:before="240" w:after="60"/>
      <w:jc w:val="center"/>
      <w:outlineLvl w:val="0"/>
    </w:pPr>
    <w:rPr>
      <w:rFonts w:ascii="Calibri Light" w:hAnsi="Calibri Light" w:eastAsia="宋体"/>
      <w:b/>
      <w:bCs/>
      <w:szCs w:val="32"/>
    </w:rPr>
  </w:style>
  <w:style w:type="paragraph" w:styleId="8">
    <w:name w:val="annotation subject"/>
    <w:basedOn w:val="2"/>
    <w:next w:val="2"/>
    <w:link w:val="17"/>
    <w:unhideWhenUsed/>
    <w:qFormat/>
    <w:uiPriority w:val="99"/>
    <w:rPr>
      <w:b/>
      <w:bCs/>
    </w:rPr>
  </w:style>
  <w:style w:type="character" w:styleId="11">
    <w:name w:val="annotation reference"/>
    <w:basedOn w:val="10"/>
    <w:unhideWhenUsed/>
    <w:qFormat/>
    <w:uiPriority w:val="99"/>
    <w:rPr>
      <w:sz w:val="21"/>
      <w:szCs w:val="21"/>
    </w:rPr>
  </w:style>
  <w:style w:type="character" w:customStyle="1" w:styleId="12">
    <w:name w:val="批注文字 Char"/>
    <w:basedOn w:val="10"/>
    <w:link w:val="2"/>
    <w:semiHidden/>
    <w:qFormat/>
    <w:uiPriority w:val="99"/>
    <w:rPr>
      <w:rFonts w:ascii="Times New Roman" w:hAnsi="Times New Roman" w:eastAsia="仿宋_GB2312" w:cs="Times New Roman"/>
      <w:kern w:val="2"/>
      <w:sz w:val="32"/>
    </w:rPr>
  </w:style>
  <w:style w:type="character" w:customStyle="1" w:styleId="13">
    <w:name w:val="批注框文本 Char"/>
    <w:basedOn w:val="10"/>
    <w:link w:val="3"/>
    <w:semiHidden/>
    <w:qFormat/>
    <w:uiPriority w:val="99"/>
    <w:rPr>
      <w:rFonts w:ascii="Times New Roman" w:hAnsi="Times New Roman" w:eastAsia="仿宋_GB2312" w:cs="Times New Roman"/>
      <w:kern w:val="2"/>
      <w:sz w:val="18"/>
      <w:szCs w:val="18"/>
    </w:rPr>
  </w:style>
  <w:style w:type="character" w:customStyle="1" w:styleId="14">
    <w:name w:val="页脚 Char"/>
    <w:basedOn w:val="10"/>
    <w:link w:val="4"/>
    <w:qFormat/>
    <w:uiPriority w:val="99"/>
    <w:rPr>
      <w:sz w:val="18"/>
      <w:szCs w:val="18"/>
    </w:rPr>
  </w:style>
  <w:style w:type="character" w:customStyle="1" w:styleId="15">
    <w:name w:val="页眉 Char"/>
    <w:basedOn w:val="10"/>
    <w:link w:val="5"/>
    <w:qFormat/>
    <w:uiPriority w:val="99"/>
    <w:rPr>
      <w:sz w:val="18"/>
      <w:szCs w:val="18"/>
    </w:rPr>
  </w:style>
  <w:style w:type="character" w:customStyle="1" w:styleId="16">
    <w:name w:val="标题 Char"/>
    <w:basedOn w:val="10"/>
    <w:link w:val="7"/>
    <w:qFormat/>
    <w:uiPriority w:val="0"/>
    <w:rPr>
      <w:rFonts w:ascii="Calibri Light" w:hAnsi="Calibri Light" w:eastAsia="宋体" w:cs="Times New Roman"/>
      <w:b/>
      <w:bCs/>
      <w:sz w:val="32"/>
      <w:szCs w:val="32"/>
    </w:rPr>
  </w:style>
  <w:style w:type="character" w:customStyle="1" w:styleId="17">
    <w:name w:val="批注主题 Char"/>
    <w:basedOn w:val="12"/>
    <w:link w:val="8"/>
    <w:semiHidden/>
    <w:qFormat/>
    <w:uiPriority w:val="99"/>
    <w:rPr>
      <w:rFonts w:ascii="Times New Roman" w:hAnsi="Times New Roman" w:eastAsia="仿宋_GB2312" w:cs="Times New Roman"/>
      <w:b/>
      <w:bCs/>
      <w:kern w:val="2"/>
      <w:sz w:val="32"/>
    </w:rPr>
  </w:style>
  <w:style w:type="paragraph" w:styleId="18">
    <w:name w:val="List Paragraph"/>
    <w:basedOn w:val="1"/>
    <w:qFormat/>
    <w:uiPriority w:val="34"/>
    <w:pPr>
      <w:ind w:firstLine="420" w:firstLineChars="200"/>
    </w:pPr>
  </w:style>
  <w:style w:type="paragraph" w:customStyle="1" w:styleId="19">
    <w:name w:val="修订1"/>
    <w:semiHidden/>
    <w:qFormat/>
    <w:uiPriority w:val="99"/>
    <w:rPr>
      <w:rFonts w:ascii="Times New Roman" w:hAnsi="Times New Roman" w:eastAsia="仿宋_GB2312" w:cs="Times New Roman"/>
      <w:kern w:val="2"/>
      <w:sz w:val="32"/>
      <w:lang w:val="en-US" w:eastAsia="zh-CN" w:bidi="ar-SA"/>
    </w:rPr>
  </w:style>
  <w:style w:type="paragraph" w:customStyle="1" w:styleId="20">
    <w:name w:val="Revision"/>
    <w:semiHidden/>
    <w:qFormat/>
    <w:uiPriority w:val="99"/>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神州网信技术有限公司</Company>
  <Pages>10</Pages>
  <Words>2090</Words>
  <Characters>11917</Characters>
  <Lines>99</Lines>
  <Paragraphs>27</Paragraphs>
  <TotalTime>6</TotalTime>
  <ScaleCrop>false</ScaleCrop>
  <LinksUpToDate>false</LinksUpToDate>
  <CharactersWithSpaces>13980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2022-12-09T19:25:00Z</dcterms:created>
  <dc:creator>余果</dc:creator>
  <cp:lastModifiedBy>邓婕</cp:lastModifiedBy>
  <dcterms:modified xsi:type="dcterms:W3CDTF">2025-01-21T10:36:09Z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