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F805D9">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eastAsia" w:ascii="华文中宋" w:hAnsi="华文中宋" w:eastAsia="华文中宋" w:cs="华文中宋"/>
          <w:b w:val="0"/>
          <w:bCs/>
          <w:color w:val="auto"/>
          <w:sz w:val="44"/>
          <w:szCs w:val="44"/>
          <w:highlight w:val="none"/>
          <w:lang w:val="en-US"/>
        </w:rPr>
      </w:pPr>
      <w:r>
        <w:rPr>
          <w:rFonts w:hint="eastAsia" w:ascii="华文中宋" w:hAnsi="华文中宋" w:eastAsia="华文中宋" w:cs="华文中宋"/>
          <w:b w:val="0"/>
          <w:bCs/>
          <w:color w:val="auto"/>
          <w:kern w:val="0"/>
          <w:sz w:val="44"/>
          <w:szCs w:val="44"/>
          <w:highlight w:val="none"/>
          <w:lang w:val="en-US" w:eastAsia="zh-CN" w:bidi="ar"/>
        </w:rPr>
        <w:t>2026年</w:t>
      </w:r>
      <w:r>
        <w:rPr>
          <w:rFonts w:hint="eastAsia" w:ascii="华文中宋" w:hAnsi="华文中宋" w:eastAsia="华文中宋" w:cs="华文中宋"/>
          <w:b w:val="0"/>
          <w:bCs/>
          <w:color w:val="auto"/>
          <w:kern w:val="0"/>
          <w:sz w:val="44"/>
          <w:szCs w:val="44"/>
          <w:highlight w:val="none"/>
          <w:lang w:val="en-US" w:eastAsia="zh-CN" w:bidi="ar"/>
        </w:rPr>
        <w:t>推荐客户赢好礼</w:t>
      </w:r>
      <w:bookmarkStart w:id="0" w:name="_GoBack"/>
      <w:bookmarkEnd w:id="0"/>
      <w:r>
        <w:rPr>
          <w:rFonts w:hint="eastAsia" w:ascii="华文中宋" w:hAnsi="华文中宋" w:eastAsia="华文中宋" w:cs="华文中宋"/>
          <w:b w:val="0"/>
          <w:bCs/>
          <w:color w:val="auto"/>
          <w:kern w:val="0"/>
          <w:sz w:val="44"/>
          <w:szCs w:val="44"/>
          <w:highlight w:val="none"/>
          <w:lang w:val="en-US" w:eastAsia="zh-CN" w:bidi="ar"/>
        </w:rPr>
        <w:t>（MGM）活动细则</w:t>
      </w:r>
    </w:p>
    <w:p w14:paraId="7FA95795">
      <w:pPr>
        <w:pStyle w:val="2"/>
        <w:keepNext w:val="0"/>
        <w:keepLines w:val="0"/>
        <w:pageBreakBefore w:val="0"/>
        <w:widowControl/>
        <w:kinsoku/>
        <w:wordWrap/>
        <w:overflowPunct/>
        <w:topLinePunct w:val="0"/>
        <w:autoSpaceDE/>
        <w:autoSpaceDN/>
        <w:bidi w:val="0"/>
        <w:adjustRightInd/>
        <w:snapToGrid/>
        <w:spacing w:line="579" w:lineRule="exact"/>
        <w:ind w:firstLine="643" w:firstLineChars="200"/>
        <w:textAlignment w:val="auto"/>
        <w:rPr>
          <w:rFonts w:hint="eastAsia" w:ascii="仿宋" w:hAnsi="仿宋" w:eastAsia="仿宋" w:cs="仿宋"/>
          <w:b/>
          <w:bCs/>
          <w:color w:val="auto"/>
          <w:sz w:val="32"/>
          <w:szCs w:val="32"/>
          <w:highlight w:val="none"/>
        </w:rPr>
      </w:pPr>
    </w:p>
    <w:p w14:paraId="154CFDA6">
      <w:pPr>
        <w:pStyle w:val="2"/>
        <w:keepNext w:val="0"/>
        <w:keepLines w:val="0"/>
        <w:pageBreakBefore w:val="0"/>
        <w:widowControl/>
        <w:kinsoku/>
        <w:wordWrap/>
        <w:overflowPunct/>
        <w:topLinePunct w:val="0"/>
        <w:autoSpaceDE/>
        <w:autoSpaceDN/>
        <w:bidi w:val="0"/>
        <w:adjustRightInd/>
        <w:snapToGrid/>
        <w:spacing w:line="579" w:lineRule="exact"/>
        <w:ind w:firstLine="643" w:firstLineChars="200"/>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【活动时间】</w:t>
      </w:r>
    </w:p>
    <w:p w14:paraId="322FEEA2">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202</w:t>
      </w:r>
      <w:r>
        <w:rPr>
          <w:rFonts w:hint="eastAsia" w:ascii="仿宋" w:hAnsi="仿宋" w:eastAsia="仿宋" w:cs="仿宋"/>
          <w:color w:val="auto"/>
          <w:sz w:val="32"/>
          <w:szCs w:val="32"/>
          <w:highlight w:val="none"/>
          <w:lang w:val="en-US" w:eastAsia="zh-CN"/>
        </w:rPr>
        <w:t>6</w:t>
      </w:r>
      <w:r>
        <w:rPr>
          <w:rFonts w:hint="eastAsia" w:ascii="仿宋" w:hAnsi="仿宋" w:eastAsia="仿宋" w:cs="仿宋"/>
          <w:color w:val="auto"/>
          <w:sz w:val="32"/>
          <w:szCs w:val="32"/>
          <w:highlight w:val="none"/>
        </w:rPr>
        <w:t>年1月1日至202</w:t>
      </w:r>
      <w:r>
        <w:rPr>
          <w:rFonts w:hint="eastAsia" w:ascii="仿宋" w:hAnsi="仿宋" w:eastAsia="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eastAsia="仿宋" w:cs="仿宋"/>
          <w:color w:val="auto"/>
          <w:sz w:val="32"/>
          <w:szCs w:val="32"/>
          <w:highlight w:val="none"/>
          <w:lang w:val="en-US" w:eastAsia="zh-CN"/>
        </w:rPr>
        <w:t>12</w:t>
      </w:r>
      <w:r>
        <w:rPr>
          <w:rFonts w:hint="eastAsia" w:ascii="仿宋" w:hAnsi="仿宋" w:eastAsia="仿宋" w:cs="仿宋"/>
          <w:color w:val="auto"/>
          <w:sz w:val="32"/>
          <w:szCs w:val="32"/>
          <w:highlight w:val="none"/>
        </w:rPr>
        <w:t>月3</w:t>
      </w:r>
      <w:r>
        <w:rPr>
          <w:rFonts w:hint="eastAsia" w:ascii="仿宋" w:hAnsi="仿宋" w:eastAsia="仿宋" w:cs="仿宋"/>
          <w:color w:val="auto"/>
          <w:sz w:val="32"/>
          <w:szCs w:val="32"/>
          <w:highlight w:val="none"/>
          <w:lang w:val="en-US" w:eastAsia="zh-CN"/>
        </w:rPr>
        <w:t>1</w:t>
      </w:r>
      <w:r>
        <w:rPr>
          <w:rFonts w:hint="eastAsia" w:ascii="仿宋" w:hAnsi="仿宋" w:eastAsia="仿宋" w:cs="仿宋"/>
          <w:color w:val="auto"/>
          <w:sz w:val="32"/>
          <w:szCs w:val="32"/>
          <w:highlight w:val="none"/>
        </w:rPr>
        <w:t>日。</w:t>
      </w:r>
    </w:p>
    <w:p w14:paraId="2FE4D83D">
      <w:pPr>
        <w:pStyle w:val="2"/>
        <w:keepNext w:val="0"/>
        <w:keepLines w:val="0"/>
        <w:pageBreakBefore w:val="0"/>
        <w:widowControl/>
        <w:kinsoku/>
        <w:wordWrap/>
        <w:overflowPunct/>
        <w:topLinePunct w:val="0"/>
        <w:autoSpaceDE/>
        <w:autoSpaceDN/>
        <w:bidi w:val="0"/>
        <w:adjustRightInd/>
        <w:snapToGrid/>
        <w:spacing w:line="579" w:lineRule="exact"/>
        <w:ind w:firstLine="643" w:firstLineChars="200"/>
        <w:textAlignment w:val="auto"/>
        <w:rPr>
          <w:rFonts w:hint="eastAsia" w:ascii="仿宋" w:hAnsi="仿宋" w:eastAsia="仿宋" w:cs="仿宋"/>
          <w:b/>
          <w:bCs/>
          <w:color w:val="auto"/>
          <w:sz w:val="32"/>
          <w:szCs w:val="32"/>
          <w:highlight w:val="none"/>
        </w:rPr>
      </w:pPr>
    </w:p>
    <w:p w14:paraId="75088DF3">
      <w:pPr>
        <w:pStyle w:val="2"/>
        <w:keepNext w:val="0"/>
        <w:keepLines w:val="0"/>
        <w:pageBreakBefore w:val="0"/>
        <w:widowControl/>
        <w:kinsoku/>
        <w:wordWrap/>
        <w:overflowPunct/>
        <w:topLinePunct w:val="0"/>
        <w:autoSpaceDE/>
        <w:autoSpaceDN/>
        <w:bidi w:val="0"/>
        <w:adjustRightInd/>
        <w:snapToGrid/>
        <w:spacing w:line="579" w:lineRule="exact"/>
        <w:ind w:firstLine="643" w:firstLineChars="200"/>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【活动内容】</w:t>
      </w:r>
    </w:p>
    <w:p w14:paraId="0D4510CE">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成功推荐好友成为兴业银行新客户并达标指定层级，您和好友各获得奖励积点。层级标准详见“附则”。</w:t>
      </w:r>
    </w:p>
    <w:p w14:paraId="369F3F45">
      <w:pPr>
        <w:pStyle w:val="2"/>
        <w:keepNext w:val="0"/>
        <w:keepLines w:val="0"/>
        <w:pageBreakBefore w:val="0"/>
        <w:widowControl/>
        <w:kinsoku/>
        <w:wordWrap/>
        <w:overflowPunct/>
        <w:topLinePunct w:val="0"/>
        <w:autoSpaceDE/>
        <w:autoSpaceDN/>
        <w:bidi w:val="0"/>
        <w:adjustRightInd/>
        <w:snapToGrid/>
        <w:spacing w:line="579" w:lineRule="exact"/>
        <w:ind w:firstLine="643" w:firstLineChars="200"/>
        <w:textAlignment w:val="auto"/>
        <w:rPr>
          <w:rFonts w:hint="eastAsia" w:ascii="仿宋" w:hAnsi="仿宋" w:eastAsia="仿宋" w:cs="仿宋"/>
          <w:b/>
          <w:bCs/>
          <w:color w:val="auto"/>
          <w:sz w:val="32"/>
          <w:szCs w:val="32"/>
          <w:highlight w:val="none"/>
        </w:rPr>
      </w:pPr>
    </w:p>
    <w:p w14:paraId="756E31C0">
      <w:pPr>
        <w:pStyle w:val="2"/>
        <w:keepNext w:val="0"/>
        <w:keepLines w:val="0"/>
        <w:pageBreakBefore w:val="0"/>
        <w:widowControl/>
        <w:kinsoku/>
        <w:wordWrap/>
        <w:overflowPunct/>
        <w:topLinePunct w:val="0"/>
        <w:autoSpaceDE/>
        <w:autoSpaceDN/>
        <w:bidi w:val="0"/>
        <w:adjustRightInd/>
        <w:snapToGrid/>
        <w:spacing w:line="579" w:lineRule="exact"/>
        <w:ind w:firstLine="643" w:firstLineChars="200"/>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【活动对象】</w:t>
      </w:r>
    </w:p>
    <w:p w14:paraId="6091FA25">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（一）推荐人需持有兴业银行借记卡（含II类账户）。</w:t>
      </w:r>
    </w:p>
    <w:p w14:paraId="146BA1C2">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（二）被推荐人参与本活动前无兴业银行借记卡、存折、存单、II类账户，或参与本活动前的三个月在兴业银行的资产均为零。</w:t>
      </w:r>
      <w:r>
        <w:rPr>
          <w:rFonts w:hint="eastAsia" w:ascii="仿宋" w:hAnsi="仿宋" w:eastAsia="仿宋" w:cs="仿宋"/>
          <w:color w:val="auto"/>
          <w:sz w:val="32"/>
          <w:szCs w:val="32"/>
          <w:highlight w:val="none"/>
        </w:rPr>
        <w:br w:type="textWrapping"/>
      </w:r>
    </w:p>
    <w:p w14:paraId="462849D1">
      <w:pPr>
        <w:pStyle w:val="2"/>
        <w:keepNext w:val="0"/>
        <w:keepLines w:val="0"/>
        <w:pageBreakBefore w:val="0"/>
        <w:widowControl/>
        <w:kinsoku/>
        <w:wordWrap/>
        <w:overflowPunct/>
        <w:topLinePunct w:val="0"/>
        <w:autoSpaceDE/>
        <w:autoSpaceDN/>
        <w:bidi w:val="0"/>
        <w:adjustRightInd/>
        <w:snapToGrid/>
        <w:spacing w:line="579" w:lineRule="exact"/>
        <w:ind w:firstLine="643" w:firstLineChars="200"/>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【活动标准】</w:t>
      </w:r>
    </w:p>
    <w:p w14:paraId="03BA0CAD">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（一）被推荐人提交的姓名、手机号码等信息应与在兴业银行开卡时登记的信息保持一致。</w:t>
      </w:r>
    </w:p>
    <w:p w14:paraId="02AE21DA">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（二）被推荐人为个人客户的，在成功登记活动信息的</w:t>
      </w:r>
      <w:r>
        <w:rPr>
          <w:rFonts w:hint="eastAsia" w:ascii="仿宋" w:hAnsi="仿宋" w:eastAsia="仿宋" w:cs="仿宋"/>
          <w:b/>
          <w:color w:val="auto"/>
          <w:sz w:val="32"/>
          <w:szCs w:val="32"/>
          <w:highlight w:val="none"/>
        </w:rPr>
        <w:t>次月起</w:t>
      </w:r>
      <w:r>
        <w:rPr>
          <w:rFonts w:hint="eastAsia" w:ascii="仿宋" w:hAnsi="仿宋" w:eastAsia="仿宋" w:cs="仿宋"/>
          <w:color w:val="auto"/>
          <w:sz w:val="32"/>
          <w:szCs w:val="32"/>
          <w:highlight w:val="none"/>
        </w:rPr>
        <w:t>的2个月均保持在白银及以上层级（包括黑金、白金、黄金或白银客户层级）的，确认为推荐成功，并按该期间内最高层级发放奖励积点。</w:t>
      </w:r>
    </w:p>
    <w:p w14:paraId="21913AE8">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（三）被推荐人为</w:t>
      </w:r>
      <w:r>
        <w:rPr>
          <w:rFonts w:hint="eastAsia" w:ascii="仿宋" w:hAnsi="仿宋" w:eastAsia="仿宋" w:cs="仿宋"/>
          <w:color w:val="auto"/>
          <w:sz w:val="32"/>
          <w:szCs w:val="32"/>
          <w:highlight w:val="none"/>
          <w:lang w:val="en-US" w:eastAsia="zh-CN"/>
        </w:rPr>
        <w:t>共享群组</w:t>
      </w:r>
      <w:r>
        <w:rPr>
          <w:rFonts w:hint="eastAsia" w:ascii="仿宋" w:hAnsi="仿宋" w:eastAsia="仿宋" w:cs="仿宋"/>
          <w:color w:val="auto"/>
          <w:sz w:val="32"/>
          <w:szCs w:val="32"/>
          <w:highlight w:val="none"/>
        </w:rPr>
        <w:t>客户的，当同时满足以下条件时，确认为</w:t>
      </w:r>
      <w:r>
        <w:rPr>
          <w:rFonts w:hint="eastAsia" w:ascii="仿宋" w:hAnsi="仿宋" w:eastAsia="仿宋" w:cs="仿宋"/>
          <w:color w:val="auto"/>
          <w:sz w:val="32"/>
          <w:szCs w:val="32"/>
          <w:highlight w:val="none"/>
          <w:lang w:val="en-US" w:eastAsia="zh-CN"/>
        </w:rPr>
        <w:t>共享群组</w:t>
      </w:r>
      <w:r>
        <w:rPr>
          <w:rFonts w:hint="eastAsia" w:ascii="仿宋" w:hAnsi="仿宋" w:eastAsia="仿宋" w:cs="仿宋"/>
          <w:color w:val="auto"/>
          <w:sz w:val="32"/>
          <w:szCs w:val="32"/>
          <w:highlight w:val="none"/>
        </w:rPr>
        <w:t>客户推荐成功，并按该期间达到的最高</w:t>
      </w:r>
      <w:r>
        <w:rPr>
          <w:rFonts w:hint="eastAsia" w:ascii="仿宋" w:hAnsi="仿宋" w:eastAsia="仿宋" w:cs="仿宋"/>
          <w:color w:val="auto"/>
          <w:sz w:val="32"/>
          <w:szCs w:val="32"/>
          <w:highlight w:val="none"/>
          <w:lang w:val="en-US" w:eastAsia="zh-CN"/>
        </w:rPr>
        <w:t>共享群组</w:t>
      </w:r>
      <w:r>
        <w:rPr>
          <w:rFonts w:hint="eastAsia" w:ascii="仿宋" w:hAnsi="仿宋" w:eastAsia="仿宋" w:cs="仿宋"/>
          <w:color w:val="auto"/>
          <w:sz w:val="32"/>
          <w:szCs w:val="32"/>
          <w:highlight w:val="none"/>
        </w:rPr>
        <w:t>层级发放奖励积点：</w:t>
      </w:r>
    </w:p>
    <w:p w14:paraId="58E9192D">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val="en-US" w:eastAsia="zh-CN"/>
        </w:rPr>
        <w:t>共享群组</w:t>
      </w:r>
      <w:r>
        <w:rPr>
          <w:rFonts w:hint="eastAsia" w:ascii="仿宋" w:hAnsi="仿宋" w:eastAsia="仿宋" w:cs="仿宋"/>
          <w:color w:val="auto"/>
          <w:sz w:val="32"/>
          <w:szCs w:val="32"/>
          <w:highlight w:val="none"/>
        </w:rPr>
        <w:t>内成员首次开户时间均在成功登记活动信息时间之后（含当天）。</w:t>
      </w:r>
    </w:p>
    <w:p w14:paraId="00320B09">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2.在成功登记活动信息</w:t>
      </w:r>
      <w:r>
        <w:rPr>
          <w:rFonts w:hint="eastAsia" w:ascii="仿宋" w:hAnsi="仿宋" w:eastAsia="仿宋" w:cs="仿宋"/>
          <w:b/>
          <w:color w:val="auto"/>
          <w:sz w:val="32"/>
          <w:szCs w:val="32"/>
          <w:highlight w:val="none"/>
        </w:rPr>
        <w:t>当月起</w:t>
      </w:r>
      <w:r>
        <w:rPr>
          <w:rFonts w:hint="eastAsia" w:ascii="仿宋" w:hAnsi="仿宋" w:eastAsia="仿宋" w:cs="仿宋"/>
          <w:color w:val="auto"/>
          <w:sz w:val="32"/>
          <w:szCs w:val="32"/>
          <w:highlight w:val="none"/>
        </w:rPr>
        <w:t>的2个月内通过</w:t>
      </w:r>
      <w:r>
        <w:rPr>
          <w:rFonts w:hint="eastAsia" w:ascii="仿宋" w:hAnsi="仿宋" w:eastAsia="仿宋" w:cs="仿宋"/>
          <w:color w:val="auto"/>
          <w:sz w:val="32"/>
          <w:szCs w:val="32"/>
          <w:highlight w:val="none"/>
          <w:lang w:val="en-US" w:eastAsia="zh-CN"/>
        </w:rPr>
        <w:t>兴业银行手机银行App</w:t>
      </w:r>
      <w:r>
        <w:rPr>
          <w:rFonts w:hint="eastAsia" w:ascii="仿宋" w:hAnsi="仿宋" w:eastAsia="仿宋" w:cs="仿宋"/>
          <w:color w:val="auto"/>
          <w:sz w:val="32"/>
          <w:szCs w:val="32"/>
          <w:highlight w:val="none"/>
        </w:rPr>
        <w:t>成功建立</w:t>
      </w:r>
      <w:r>
        <w:rPr>
          <w:rFonts w:hint="eastAsia" w:ascii="仿宋" w:hAnsi="仿宋" w:eastAsia="仿宋" w:cs="仿宋"/>
          <w:color w:val="auto"/>
          <w:sz w:val="32"/>
          <w:szCs w:val="32"/>
          <w:highlight w:val="none"/>
          <w:lang w:val="en-US" w:eastAsia="zh-CN"/>
        </w:rPr>
        <w:t>共享群组</w:t>
      </w:r>
      <w:r>
        <w:rPr>
          <w:rFonts w:hint="eastAsia" w:ascii="仿宋" w:hAnsi="仿宋" w:eastAsia="仿宋" w:cs="仿宋"/>
          <w:color w:val="auto"/>
          <w:sz w:val="32"/>
          <w:szCs w:val="32"/>
          <w:highlight w:val="none"/>
        </w:rPr>
        <w:t>。</w:t>
      </w:r>
    </w:p>
    <w:p w14:paraId="094312E8">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3.在成功登记活动信息</w:t>
      </w:r>
      <w:r>
        <w:rPr>
          <w:rFonts w:hint="eastAsia" w:ascii="仿宋" w:hAnsi="仿宋" w:eastAsia="仿宋" w:cs="仿宋"/>
          <w:b/>
          <w:color w:val="auto"/>
          <w:sz w:val="32"/>
          <w:szCs w:val="32"/>
          <w:highlight w:val="none"/>
        </w:rPr>
        <w:t>次月起</w:t>
      </w:r>
      <w:r>
        <w:rPr>
          <w:rFonts w:hint="eastAsia" w:ascii="仿宋" w:hAnsi="仿宋" w:eastAsia="仿宋" w:cs="仿宋"/>
          <w:color w:val="auto"/>
          <w:sz w:val="32"/>
          <w:szCs w:val="32"/>
          <w:highlight w:val="none"/>
        </w:rPr>
        <w:t>的2个月内</w:t>
      </w:r>
      <w:r>
        <w:rPr>
          <w:rFonts w:hint="eastAsia" w:ascii="仿宋" w:hAnsi="仿宋" w:eastAsia="仿宋" w:cs="仿宋"/>
          <w:color w:val="auto"/>
          <w:sz w:val="32"/>
          <w:szCs w:val="32"/>
          <w:highlight w:val="none"/>
          <w:lang w:val="en-US" w:eastAsia="zh-CN"/>
        </w:rPr>
        <w:t>共享群组</w:t>
      </w:r>
      <w:r>
        <w:rPr>
          <w:rFonts w:hint="eastAsia" w:ascii="仿宋" w:hAnsi="仿宋" w:eastAsia="仿宋" w:cs="仿宋"/>
          <w:color w:val="auto"/>
          <w:sz w:val="32"/>
          <w:szCs w:val="32"/>
          <w:highlight w:val="none"/>
        </w:rPr>
        <w:t>层级保持在白银及以上层级（包括黑金、白金、黄金或白银客户层级）。</w:t>
      </w:r>
    </w:p>
    <w:p w14:paraId="210EABA5">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举例：客户1月收到好友发送的推荐客户赢好礼邀约并完成参与活动信息登记，且2月和3月均保持在白银及以上层级的，确认为推荐成功，并以客户1月、2月和3月份月日均资产评定的最高客户层级发放奖励积点。4月8日起客户可通过手机银行查询推荐结果。</w:t>
      </w:r>
      <w:r>
        <w:rPr>
          <w:rFonts w:hint="eastAsia" w:ascii="仿宋" w:hAnsi="仿宋" w:eastAsia="仿宋" w:cs="仿宋"/>
          <w:color w:val="auto"/>
          <w:sz w:val="32"/>
          <w:szCs w:val="32"/>
          <w:highlight w:val="none"/>
          <w:lang w:val="en-US" w:eastAsia="zh-CN"/>
        </w:rPr>
        <w:t>共享群组客户</w:t>
      </w:r>
      <w:r>
        <w:rPr>
          <w:rFonts w:hint="eastAsia" w:ascii="仿宋" w:hAnsi="仿宋" w:eastAsia="仿宋" w:cs="仿宋"/>
          <w:color w:val="auto"/>
          <w:sz w:val="32"/>
          <w:szCs w:val="32"/>
          <w:highlight w:val="none"/>
        </w:rPr>
        <w:t>同理。</w:t>
      </w:r>
    </w:p>
    <w:p w14:paraId="152963A0">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 w:cs="仿宋"/>
          <w:color w:val="auto"/>
          <w:sz w:val="32"/>
          <w:szCs w:val="32"/>
          <w:highlight w:val="none"/>
        </w:rPr>
      </w:pPr>
    </w:p>
    <w:p w14:paraId="7DB5DE5D">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b/>
          <w:bCs/>
          <w:color w:val="auto"/>
          <w:sz w:val="32"/>
          <w:szCs w:val="32"/>
          <w:highlight w:val="none"/>
        </w:rPr>
        <w:t>活动奖励</w:t>
      </w:r>
      <w:r>
        <w:rPr>
          <w:rFonts w:hint="eastAsia" w:ascii="仿宋" w:hAnsi="仿宋" w:eastAsia="仿宋" w:cs="仿宋"/>
          <w:color w:val="auto"/>
          <w:sz w:val="32"/>
          <w:szCs w:val="32"/>
          <w:highlight w:val="none"/>
        </w:rPr>
        <w:t>】</w:t>
      </w:r>
    </w:p>
    <w:p w14:paraId="1B8D109F">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（一）推荐人每成功推荐一名被推荐人成为黑金、白金、黄金、白银层级客户（含</w:t>
      </w:r>
      <w:r>
        <w:rPr>
          <w:rFonts w:hint="eastAsia" w:ascii="仿宋" w:hAnsi="仿宋" w:eastAsia="仿宋" w:cs="仿宋"/>
          <w:color w:val="auto"/>
          <w:sz w:val="32"/>
          <w:szCs w:val="32"/>
          <w:highlight w:val="none"/>
          <w:lang w:val="en-US" w:eastAsia="zh-CN"/>
        </w:rPr>
        <w:t>共享群组</w:t>
      </w:r>
      <w:r>
        <w:rPr>
          <w:rFonts w:hint="eastAsia" w:ascii="仿宋" w:hAnsi="仿宋" w:eastAsia="仿宋" w:cs="仿宋"/>
          <w:color w:val="auto"/>
          <w:sz w:val="32"/>
          <w:szCs w:val="32"/>
          <w:highlight w:val="none"/>
        </w:rPr>
        <w:t>客户），推荐人和被推荐人均可获得350、200、50、30奖励积点。</w:t>
      </w:r>
    </w:p>
    <w:p w14:paraId="79076AF5">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若推荐人为黑金及以上层级客户（以成功登记活动信息时的客户层级为准），每成功推荐一名被推荐人达标黑金层级，推荐人可额外获得150奖励积点（共计500积点），每成功推荐一名被推荐人达标白金层级，推荐人可额外获得100奖励积点（共计300积点），被推荐人奖励标准不变。</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43701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39771E14">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eastAsia"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被推荐人</w:t>
            </w:r>
          </w:p>
          <w:p w14:paraId="560624B2">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达标层级</w:t>
            </w:r>
          </w:p>
        </w:tc>
        <w:tc>
          <w:tcPr>
            <w:tcW w:w="2130" w:type="dxa"/>
          </w:tcPr>
          <w:p w14:paraId="407BEF78">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推荐人（白金及以下）奖励</w:t>
            </w:r>
          </w:p>
        </w:tc>
        <w:tc>
          <w:tcPr>
            <w:tcW w:w="2131" w:type="dxa"/>
          </w:tcPr>
          <w:p w14:paraId="3953155A">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推荐人（黑金及以上）奖励</w:t>
            </w:r>
          </w:p>
        </w:tc>
        <w:tc>
          <w:tcPr>
            <w:tcW w:w="2131" w:type="dxa"/>
          </w:tcPr>
          <w:p w14:paraId="10EC45C8">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eastAsia"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被推荐人</w:t>
            </w:r>
          </w:p>
          <w:p w14:paraId="46FF256F">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奖励</w:t>
            </w:r>
          </w:p>
        </w:tc>
      </w:tr>
      <w:tr w14:paraId="19DC9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66CBDC41">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黑金层级</w:t>
            </w:r>
          </w:p>
        </w:tc>
        <w:tc>
          <w:tcPr>
            <w:tcW w:w="2130" w:type="dxa"/>
          </w:tcPr>
          <w:p w14:paraId="35FE7950">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350</w:t>
            </w:r>
          </w:p>
        </w:tc>
        <w:tc>
          <w:tcPr>
            <w:tcW w:w="2131" w:type="dxa"/>
          </w:tcPr>
          <w:p w14:paraId="0CF2E341">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500</w:t>
            </w:r>
          </w:p>
        </w:tc>
        <w:tc>
          <w:tcPr>
            <w:tcW w:w="2131" w:type="dxa"/>
          </w:tcPr>
          <w:p w14:paraId="600BCD9C">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350</w:t>
            </w:r>
          </w:p>
        </w:tc>
      </w:tr>
      <w:tr w14:paraId="0B646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5187A72">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白金层级</w:t>
            </w:r>
          </w:p>
        </w:tc>
        <w:tc>
          <w:tcPr>
            <w:tcW w:w="2130" w:type="dxa"/>
          </w:tcPr>
          <w:p w14:paraId="7C6D7DC0">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200</w:t>
            </w:r>
          </w:p>
        </w:tc>
        <w:tc>
          <w:tcPr>
            <w:tcW w:w="2131" w:type="dxa"/>
          </w:tcPr>
          <w:p w14:paraId="2234979A">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300</w:t>
            </w:r>
          </w:p>
        </w:tc>
        <w:tc>
          <w:tcPr>
            <w:tcW w:w="2131" w:type="dxa"/>
          </w:tcPr>
          <w:p w14:paraId="57749CF4">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200</w:t>
            </w:r>
          </w:p>
        </w:tc>
      </w:tr>
      <w:tr w14:paraId="5A93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30" w:type="dxa"/>
          </w:tcPr>
          <w:p w14:paraId="36BEE761">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黄金层级</w:t>
            </w:r>
          </w:p>
        </w:tc>
        <w:tc>
          <w:tcPr>
            <w:tcW w:w="2130" w:type="dxa"/>
          </w:tcPr>
          <w:p w14:paraId="3E4ED021">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50</w:t>
            </w:r>
          </w:p>
        </w:tc>
        <w:tc>
          <w:tcPr>
            <w:tcW w:w="2131" w:type="dxa"/>
          </w:tcPr>
          <w:p w14:paraId="07C7198C">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50</w:t>
            </w:r>
          </w:p>
        </w:tc>
        <w:tc>
          <w:tcPr>
            <w:tcW w:w="2131" w:type="dxa"/>
          </w:tcPr>
          <w:p w14:paraId="08882B92">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50</w:t>
            </w:r>
          </w:p>
        </w:tc>
      </w:tr>
      <w:tr w14:paraId="167E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14:paraId="53D6A825">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白银层级</w:t>
            </w:r>
          </w:p>
        </w:tc>
        <w:tc>
          <w:tcPr>
            <w:tcW w:w="2130" w:type="dxa"/>
          </w:tcPr>
          <w:p w14:paraId="10DB7F74">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30</w:t>
            </w:r>
          </w:p>
        </w:tc>
        <w:tc>
          <w:tcPr>
            <w:tcW w:w="2131" w:type="dxa"/>
          </w:tcPr>
          <w:p w14:paraId="3EB2DEC5">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30</w:t>
            </w:r>
          </w:p>
        </w:tc>
        <w:tc>
          <w:tcPr>
            <w:tcW w:w="2131" w:type="dxa"/>
          </w:tcPr>
          <w:p w14:paraId="38EEA987">
            <w:pPr>
              <w:pStyle w:val="2"/>
              <w:keepNext w:val="0"/>
              <w:keepLines w:val="0"/>
              <w:pageBreakBefore w:val="0"/>
              <w:widowControl/>
              <w:kinsoku/>
              <w:wordWrap/>
              <w:overflowPunct/>
              <w:topLinePunct w:val="0"/>
              <w:autoSpaceDE/>
              <w:autoSpaceDN/>
              <w:bidi w:val="0"/>
              <w:adjustRightInd/>
              <w:snapToGrid/>
              <w:spacing w:line="579" w:lineRule="exact"/>
              <w:jc w:val="center"/>
              <w:textAlignment w:val="auto"/>
              <w:rPr>
                <w:rFonts w:hint="default" w:ascii="仿宋" w:hAnsi="仿宋" w:eastAsia="仿宋" w:cs="仿宋"/>
                <w:color w:val="auto"/>
                <w:sz w:val="32"/>
                <w:szCs w:val="32"/>
                <w:highlight w:val="none"/>
                <w:vertAlign w:val="baseline"/>
                <w:lang w:val="en-US" w:eastAsia="zh-CN"/>
              </w:rPr>
            </w:pPr>
            <w:r>
              <w:rPr>
                <w:rFonts w:hint="eastAsia" w:ascii="仿宋" w:hAnsi="仿宋" w:eastAsia="仿宋" w:cs="仿宋"/>
                <w:color w:val="auto"/>
                <w:sz w:val="32"/>
                <w:szCs w:val="32"/>
                <w:highlight w:val="none"/>
                <w:vertAlign w:val="baseline"/>
                <w:lang w:val="en-US" w:eastAsia="zh-CN"/>
              </w:rPr>
              <w:t>30</w:t>
            </w:r>
          </w:p>
        </w:tc>
      </w:tr>
    </w:tbl>
    <w:p w14:paraId="5F31B6C4">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*2026年额外推荐积点奖励的活动时间为2026年7月1日-2026年12月31日，以被推荐人登记信息时间为活动参与时间。2026年1月1日-2026年6月30日登记参与活动的客户不享受额外推荐积点奖励。</w:t>
      </w:r>
    </w:p>
    <w:p w14:paraId="763F9FA8">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（二）活动期内，推荐人成功推荐客户越多，奖励积点越多</w:t>
      </w:r>
      <w:r>
        <w:rPr>
          <w:rFonts w:hint="eastAsia" w:ascii="仿宋" w:hAnsi="仿宋" w:eastAsia="仿宋" w:cs="仿宋"/>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每个自然年内每位推荐人奖励积点获取上限为50人次</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t>超出部分不再发放推荐人奖励</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被推荐人奖励标准不变</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推荐人奖励积点获取顺序以被推荐人扫码登记时间为准。</w:t>
      </w:r>
    </w:p>
    <w:p w14:paraId="272409AD">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客户作为被推荐人只能获取一次奖励积点</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如被推荐多次，积点奖励将只发放给首位推荐人。</w:t>
      </w:r>
    </w:p>
    <w:p w14:paraId="33552D31">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2026年推荐人奖励获取上限的统计范围为2026年10月1日-2026年12月31日，在此期间每位推荐人奖励积点获取上限为50人次，以推荐人获取积点奖励到账时间为准。2026年1月1日-2026年9月30日期间到账奖励不纳入奖励次数限制统计之内。</w:t>
      </w:r>
    </w:p>
    <w:p w14:paraId="68CE1B31">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 w:cs="仿宋"/>
          <w:strike w:val="0"/>
          <w:dstrike w:val="0"/>
          <w:color w:val="auto"/>
          <w:sz w:val="32"/>
          <w:szCs w:val="32"/>
          <w:highlight w:val="none"/>
          <w:lang w:eastAsia="zh-CN"/>
        </w:rPr>
      </w:pPr>
      <w:r>
        <w:rPr>
          <w:rFonts w:hint="eastAsia" w:ascii="仿宋" w:hAnsi="仿宋" w:eastAsia="仿宋" w:cs="仿宋"/>
          <w:color w:val="auto"/>
          <w:sz w:val="32"/>
          <w:szCs w:val="32"/>
          <w:highlight w:val="none"/>
        </w:rPr>
        <w:t>（三）奖励积点于确认推荐成功的次月8日前</w:t>
      </w:r>
      <w:r>
        <w:rPr>
          <w:rFonts w:hint="eastAsia" w:ascii="仿宋" w:hAnsi="仿宋" w:eastAsia="仿宋" w:cs="仿宋"/>
          <w:color w:val="auto"/>
          <w:sz w:val="32"/>
          <w:szCs w:val="32"/>
          <w:highlight w:val="none"/>
          <w:lang w:val="en-US" w:eastAsia="zh-CN"/>
        </w:rPr>
        <w:t>由系统自动</w:t>
      </w:r>
      <w:r>
        <w:rPr>
          <w:rFonts w:hint="eastAsia" w:ascii="仿宋" w:hAnsi="仿宋" w:eastAsia="仿宋" w:cs="仿宋"/>
          <w:color w:val="auto"/>
          <w:sz w:val="32"/>
          <w:szCs w:val="32"/>
          <w:highlight w:val="none"/>
        </w:rPr>
        <w:t>发放</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客户可通过兴业银行手机银行App-我的-积点权益-借记卡积点，查看奖励积点获取明细</w:t>
      </w:r>
      <w:r>
        <w:rPr>
          <w:rFonts w:hint="eastAsia" w:ascii="仿宋" w:hAnsi="仿宋" w:eastAsia="仿宋" w:cs="仿宋"/>
          <w:strike w:val="0"/>
          <w:dstrike w:val="0"/>
          <w:color w:val="auto"/>
          <w:sz w:val="32"/>
          <w:szCs w:val="32"/>
          <w:highlight w:val="none"/>
          <w:lang w:eastAsia="zh-CN"/>
        </w:rPr>
        <w:t>。</w:t>
      </w:r>
    </w:p>
    <w:p w14:paraId="08BA6C8E">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举例：A客户</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白金及以下层级</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1月向新客好友B、C发出推荐客户赢好礼邀约，好友B、C当月接受邀请完成参加活动信息登记，且好友B、C在2月份和3月份均保持在白银层级及以上，期间好友B的最高层级达到黑金，好友C的最高层级达到</w:t>
      </w:r>
      <w:r>
        <w:rPr>
          <w:rFonts w:hint="eastAsia" w:ascii="仿宋" w:hAnsi="仿宋" w:eastAsia="仿宋" w:cs="仿宋"/>
          <w:color w:val="auto"/>
          <w:sz w:val="32"/>
          <w:szCs w:val="32"/>
          <w:highlight w:val="none"/>
          <w:lang w:val="en-US" w:eastAsia="zh-CN"/>
        </w:rPr>
        <w:t>白</w:t>
      </w:r>
      <w:r>
        <w:rPr>
          <w:rFonts w:hint="eastAsia" w:ascii="仿宋" w:hAnsi="仿宋" w:eastAsia="仿宋" w:cs="仿宋"/>
          <w:color w:val="auto"/>
          <w:sz w:val="32"/>
          <w:szCs w:val="32"/>
          <w:highlight w:val="none"/>
        </w:rPr>
        <w:t>金，则A客户在4月份将获赠</w:t>
      </w:r>
      <w:r>
        <w:rPr>
          <w:rFonts w:hint="eastAsia" w:ascii="仿宋" w:hAnsi="仿宋" w:eastAsia="仿宋" w:cs="仿宋"/>
          <w:color w:val="auto"/>
          <w:sz w:val="32"/>
          <w:szCs w:val="32"/>
          <w:highlight w:val="none"/>
          <w:lang w:val="en-US" w:eastAsia="zh-CN"/>
        </w:rPr>
        <w:t>550</w:t>
      </w:r>
      <w:r>
        <w:rPr>
          <w:rFonts w:hint="eastAsia" w:ascii="仿宋" w:hAnsi="仿宋" w:eastAsia="仿宋" w:cs="仿宋"/>
          <w:color w:val="auto"/>
          <w:sz w:val="32"/>
          <w:szCs w:val="32"/>
          <w:highlight w:val="none"/>
        </w:rPr>
        <w:t>（350*1+</w:t>
      </w:r>
      <w:r>
        <w:rPr>
          <w:rFonts w:hint="eastAsia" w:ascii="仿宋" w:hAnsi="仿宋" w:eastAsia="仿宋" w:cs="仿宋"/>
          <w:color w:val="auto"/>
          <w:sz w:val="32"/>
          <w:szCs w:val="32"/>
          <w:highlight w:val="none"/>
          <w:lang w:val="en-US" w:eastAsia="zh-CN"/>
        </w:rPr>
        <w:t>200</w:t>
      </w:r>
      <w:r>
        <w:rPr>
          <w:rFonts w:hint="eastAsia" w:ascii="仿宋" w:hAnsi="仿宋" w:eastAsia="仿宋" w:cs="仿宋"/>
          <w:color w:val="auto"/>
          <w:sz w:val="32"/>
          <w:szCs w:val="32"/>
          <w:highlight w:val="none"/>
        </w:rPr>
        <w:t>*1）奖励积点</w:t>
      </w:r>
      <w:r>
        <w:rPr>
          <w:rFonts w:hint="eastAsia" w:ascii="仿宋" w:hAnsi="仿宋" w:eastAsia="仿宋" w:cs="仿宋"/>
          <w:color w:val="auto"/>
          <w:sz w:val="32"/>
          <w:szCs w:val="32"/>
          <w:highlight w:val="none"/>
          <w:lang w:eastAsia="zh-CN"/>
        </w:rPr>
        <w:t>。</w:t>
      </w:r>
    </w:p>
    <w:p w14:paraId="06BA7CA1">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jc w:val="both"/>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D客户（黑金及以上层级）10</w:t>
      </w:r>
      <w:r>
        <w:rPr>
          <w:rFonts w:hint="eastAsia" w:ascii="仿宋" w:hAnsi="仿宋" w:eastAsia="仿宋" w:cs="仿宋"/>
          <w:color w:val="auto"/>
          <w:sz w:val="32"/>
          <w:szCs w:val="32"/>
          <w:highlight w:val="none"/>
        </w:rPr>
        <w:t>月向新客好友</w:t>
      </w:r>
      <w:r>
        <w:rPr>
          <w:rFonts w:hint="eastAsia" w:ascii="仿宋" w:hAnsi="仿宋" w:eastAsia="仿宋" w:cs="仿宋"/>
          <w:color w:val="auto"/>
          <w:sz w:val="32"/>
          <w:szCs w:val="32"/>
          <w:highlight w:val="none"/>
          <w:lang w:val="en-US" w:eastAsia="zh-CN"/>
        </w:rPr>
        <w:t>E、F</w:t>
      </w:r>
      <w:r>
        <w:rPr>
          <w:rFonts w:hint="eastAsia" w:ascii="仿宋" w:hAnsi="仿宋" w:eastAsia="仿宋" w:cs="仿宋"/>
          <w:color w:val="auto"/>
          <w:sz w:val="32"/>
          <w:szCs w:val="32"/>
          <w:highlight w:val="none"/>
        </w:rPr>
        <w:t>发出推荐客户赢好礼邀约，好友</w:t>
      </w:r>
      <w:r>
        <w:rPr>
          <w:rFonts w:hint="eastAsia" w:ascii="仿宋" w:hAnsi="仿宋" w:eastAsia="仿宋" w:cs="仿宋"/>
          <w:color w:val="auto"/>
          <w:sz w:val="32"/>
          <w:szCs w:val="32"/>
          <w:highlight w:val="none"/>
          <w:lang w:val="en-US" w:eastAsia="zh-CN"/>
        </w:rPr>
        <w:t>E、F</w:t>
      </w:r>
      <w:r>
        <w:rPr>
          <w:rFonts w:hint="eastAsia" w:ascii="仿宋" w:hAnsi="仿宋" w:eastAsia="仿宋" w:cs="仿宋"/>
          <w:color w:val="auto"/>
          <w:sz w:val="32"/>
          <w:szCs w:val="32"/>
          <w:highlight w:val="none"/>
        </w:rPr>
        <w:t>当月接受邀请完成参加活动信息登记，且好友</w:t>
      </w:r>
      <w:r>
        <w:rPr>
          <w:rFonts w:hint="eastAsia" w:ascii="仿宋" w:hAnsi="仿宋" w:eastAsia="仿宋" w:cs="仿宋"/>
          <w:color w:val="auto"/>
          <w:sz w:val="32"/>
          <w:szCs w:val="32"/>
          <w:highlight w:val="none"/>
          <w:lang w:val="en-US" w:eastAsia="zh-CN"/>
        </w:rPr>
        <w:t>E、F</w:t>
      </w:r>
      <w:r>
        <w:rPr>
          <w:rFonts w:hint="eastAsia" w:ascii="仿宋" w:hAnsi="仿宋" w:eastAsia="仿宋" w:cs="仿宋"/>
          <w:color w:val="auto"/>
          <w:sz w:val="32"/>
          <w:szCs w:val="32"/>
          <w:highlight w:val="none"/>
        </w:rPr>
        <w:t>在</w:t>
      </w:r>
      <w:r>
        <w:rPr>
          <w:rFonts w:hint="eastAsia" w:ascii="仿宋" w:hAnsi="仿宋" w:eastAsia="仿宋" w:cs="仿宋"/>
          <w:color w:val="auto"/>
          <w:sz w:val="32"/>
          <w:szCs w:val="32"/>
          <w:highlight w:val="none"/>
          <w:lang w:val="en-US" w:eastAsia="zh-CN"/>
        </w:rPr>
        <w:t>11</w:t>
      </w:r>
      <w:r>
        <w:rPr>
          <w:rFonts w:hint="eastAsia" w:ascii="仿宋" w:hAnsi="仿宋" w:eastAsia="仿宋" w:cs="仿宋"/>
          <w:color w:val="auto"/>
          <w:sz w:val="32"/>
          <w:szCs w:val="32"/>
          <w:highlight w:val="none"/>
        </w:rPr>
        <w:t>月份和</w:t>
      </w:r>
      <w:r>
        <w:rPr>
          <w:rFonts w:hint="eastAsia" w:ascii="仿宋" w:hAnsi="仿宋" w:eastAsia="仿宋" w:cs="仿宋"/>
          <w:color w:val="auto"/>
          <w:sz w:val="32"/>
          <w:szCs w:val="32"/>
          <w:highlight w:val="none"/>
          <w:lang w:val="en-US" w:eastAsia="zh-CN"/>
        </w:rPr>
        <w:t>12</w:t>
      </w:r>
      <w:r>
        <w:rPr>
          <w:rFonts w:hint="eastAsia" w:ascii="仿宋" w:hAnsi="仿宋" w:eastAsia="仿宋" w:cs="仿宋"/>
          <w:color w:val="auto"/>
          <w:sz w:val="32"/>
          <w:szCs w:val="32"/>
          <w:highlight w:val="none"/>
        </w:rPr>
        <w:t>月份均保持在白银层级及以上，期间好友</w:t>
      </w:r>
      <w:r>
        <w:rPr>
          <w:rFonts w:hint="eastAsia" w:ascii="仿宋" w:hAnsi="仿宋" w:eastAsia="仿宋" w:cs="仿宋"/>
          <w:color w:val="auto"/>
          <w:sz w:val="32"/>
          <w:szCs w:val="32"/>
          <w:highlight w:val="none"/>
          <w:lang w:val="en-US" w:eastAsia="zh-CN"/>
        </w:rPr>
        <w:t>E</w:t>
      </w:r>
      <w:r>
        <w:rPr>
          <w:rFonts w:hint="eastAsia" w:ascii="仿宋" w:hAnsi="仿宋" w:eastAsia="仿宋" w:cs="仿宋"/>
          <w:color w:val="auto"/>
          <w:sz w:val="32"/>
          <w:szCs w:val="32"/>
          <w:highlight w:val="none"/>
        </w:rPr>
        <w:t>的最高层级达到黑金，好友</w:t>
      </w:r>
      <w:r>
        <w:rPr>
          <w:rFonts w:hint="eastAsia" w:ascii="仿宋" w:hAnsi="仿宋" w:eastAsia="仿宋" w:cs="仿宋"/>
          <w:color w:val="auto"/>
          <w:sz w:val="32"/>
          <w:szCs w:val="32"/>
          <w:highlight w:val="none"/>
          <w:lang w:val="en-US" w:eastAsia="zh-CN"/>
        </w:rPr>
        <w:t>F</w:t>
      </w:r>
      <w:r>
        <w:rPr>
          <w:rFonts w:hint="eastAsia" w:ascii="仿宋" w:hAnsi="仿宋" w:eastAsia="仿宋" w:cs="仿宋"/>
          <w:color w:val="auto"/>
          <w:sz w:val="32"/>
          <w:szCs w:val="32"/>
          <w:highlight w:val="none"/>
        </w:rPr>
        <w:t>的最高层级达到</w:t>
      </w:r>
      <w:r>
        <w:rPr>
          <w:rFonts w:hint="eastAsia" w:ascii="仿宋" w:hAnsi="仿宋" w:eastAsia="仿宋" w:cs="仿宋"/>
          <w:color w:val="auto"/>
          <w:sz w:val="32"/>
          <w:szCs w:val="32"/>
          <w:highlight w:val="none"/>
          <w:lang w:val="en-US" w:eastAsia="zh-CN"/>
        </w:rPr>
        <w:t>白</w:t>
      </w:r>
      <w:r>
        <w:rPr>
          <w:rFonts w:hint="eastAsia" w:ascii="仿宋" w:hAnsi="仿宋" w:eastAsia="仿宋" w:cs="仿宋"/>
          <w:color w:val="auto"/>
          <w:sz w:val="32"/>
          <w:szCs w:val="32"/>
          <w:highlight w:val="none"/>
        </w:rPr>
        <w:t>金，则</w:t>
      </w:r>
      <w:r>
        <w:rPr>
          <w:rFonts w:hint="eastAsia" w:ascii="仿宋" w:hAnsi="仿宋" w:eastAsia="仿宋" w:cs="仿宋"/>
          <w:color w:val="auto"/>
          <w:sz w:val="32"/>
          <w:szCs w:val="32"/>
          <w:highlight w:val="none"/>
          <w:lang w:val="en-US" w:eastAsia="zh-CN"/>
        </w:rPr>
        <w:t>D</w:t>
      </w:r>
      <w:r>
        <w:rPr>
          <w:rFonts w:hint="eastAsia" w:ascii="仿宋" w:hAnsi="仿宋" w:eastAsia="仿宋" w:cs="仿宋"/>
          <w:color w:val="auto"/>
          <w:sz w:val="32"/>
          <w:szCs w:val="32"/>
          <w:highlight w:val="none"/>
        </w:rPr>
        <w:t>客户在</w:t>
      </w:r>
      <w:r>
        <w:rPr>
          <w:rFonts w:hint="eastAsia" w:ascii="仿宋" w:hAnsi="仿宋" w:eastAsia="仿宋" w:cs="仿宋"/>
          <w:color w:val="auto"/>
          <w:sz w:val="32"/>
          <w:szCs w:val="32"/>
          <w:highlight w:val="none"/>
          <w:lang w:val="en-US" w:eastAsia="zh-CN"/>
        </w:rPr>
        <w:t>次年1</w:t>
      </w:r>
      <w:r>
        <w:rPr>
          <w:rFonts w:hint="eastAsia" w:ascii="仿宋" w:hAnsi="仿宋" w:eastAsia="仿宋" w:cs="仿宋"/>
          <w:color w:val="auto"/>
          <w:sz w:val="32"/>
          <w:szCs w:val="32"/>
          <w:highlight w:val="none"/>
        </w:rPr>
        <w:t>月份将获赠</w:t>
      </w:r>
      <w:r>
        <w:rPr>
          <w:rFonts w:hint="eastAsia" w:ascii="仿宋" w:hAnsi="仿宋" w:eastAsia="仿宋" w:cs="仿宋"/>
          <w:color w:val="auto"/>
          <w:sz w:val="32"/>
          <w:szCs w:val="32"/>
          <w:highlight w:val="none"/>
          <w:lang w:val="en-US" w:eastAsia="zh-CN"/>
        </w:rPr>
        <w:t>800</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500</w:t>
      </w: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lang w:val="en-US" w:eastAsia="zh-CN"/>
        </w:rPr>
        <w:t>300</w:t>
      </w:r>
      <w:r>
        <w:rPr>
          <w:rFonts w:hint="eastAsia" w:ascii="仿宋" w:hAnsi="仿宋" w:eastAsia="仿宋" w:cs="仿宋"/>
          <w:color w:val="auto"/>
          <w:sz w:val="32"/>
          <w:szCs w:val="32"/>
          <w:highlight w:val="none"/>
        </w:rPr>
        <w:t>*1）奖励积点</w:t>
      </w:r>
      <w:r>
        <w:rPr>
          <w:rFonts w:hint="eastAsia" w:ascii="仿宋" w:hAnsi="仿宋" w:eastAsia="仿宋" w:cs="仿宋"/>
          <w:color w:val="auto"/>
          <w:sz w:val="32"/>
          <w:szCs w:val="32"/>
          <w:highlight w:val="none"/>
          <w:lang w:eastAsia="zh-CN"/>
        </w:rPr>
        <w:t>。</w:t>
      </w:r>
    </w:p>
    <w:p w14:paraId="0EBE5F00">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b/>
          <w:bCs/>
          <w:color w:val="auto"/>
          <w:sz w:val="32"/>
          <w:szCs w:val="32"/>
          <w:highlight w:val="none"/>
        </w:rPr>
        <w:t>活动流程</w:t>
      </w:r>
      <w:r>
        <w:rPr>
          <w:rFonts w:hint="eastAsia" w:ascii="仿宋" w:hAnsi="仿宋" w:eastAsia="仿宋" w:cs="仿宋"/>
          <w:color w:val="auto"/>
          <w:sz w:val="32"/>
          <w:szCs w:val="32"/>
          <w:highlight w:val="none"/>
        </w:rPr>
        <w:t>】</w:t>
      </w:r>
    </w:p>
    <w:p w14:paraId="0E1D423B">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（一）下载兴业银行手机银行App</w:t>
      </w:r>
    </w:p>
    <w:p w14:paraId="487A81A1">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（二）点击首页“推荐客户赢好礼”活动</w:t>
      </w:r>
    </w:p>
    <w:p w14:paraId="6AC46096">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（三）发送推荐人海报至微信好友或朋友圈邀请好友等</w:t>
      </w:r>
    </w:p>
    <w:p w14:paraId="49545197">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（四）好友通过识别推荐人海报二维码填写参与活动登记信息</w:t>
      </w:r>
    </w:p>
    <w:p w14:paraId="0A6847A8">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（五）成功推荐好友成为指定层级客户后获得奖励积点</w:t>
      </w:r>
    </w:p>
    <w:p w14:paraId="027D3DBF">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（六）使用积点在手机银行</w:t>
      </w:r>
      <w:r>
        <w:rPr>
          <w:rFonts w:hint="eastAsia" w:ascii="仿宋" w:hAnsi="仿宋" w:eastAsia="仿宋" w:cs="仿宋"/>
          <w:b/>
          <w:bCs/>
          <w:color w:val="auto"/>
          <w:sz w:val="32"/>
          <w:szCs w:val="32"/>
          <w:highlight w:val="none"/>
          <w:lang w:val="en-US" w:eastAsia="zh-CN"/>
        </w:rPr>
        <w:t>兑换积点权益</w:t>
      </w:r>
      <w:r>
        <w:rPr>
          <w:rFonts w:hint="eastAsia" w:ascii="仿宋" w:hAnsi="仿宋" w:eastAsia="仿宋" w:cs="仿宋"/>
          <w:color w:val="auto"/>
          <w:sz w:val="32"/>
          <w:szCs w:val="32"/>
          <w:highlight w:val="none"/>
          <w:lang w:val="en-US" w:eastAsia="zh-CN"/>
        </w:rPr>
        <w:t>。</w:t>
      </w:r>
      <w:r>
        <w:rPr>
          <w:rFonts w:hint="eastAsia" w:ascii="仿宋" w:hAnsi="仿宋" w:eastAsia="仿宋" w:cs="仿宋"/>
          <w:color w:val="auto"/>
          <w:sz w:val="32"/>
          <w:szCs w:val="32"/>
          <w:highlight w:val="none"/>
        </w:rPr>
        <w:br w:type="textWrapping"/>
      </w:r>
    </w:p>
    <w:p w14:paraId="72D68FC7">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b/>
          <w:bCs/>
          <w:color w:val="auto"/>
          <w:sz w:val="32"/>
          <w:szCs w:val="32"/>
          <w:highlight w:val="none"/>
        </w:rPr>
        <w:t>活动声明</w:t>
      </w:r>
      <w:r>
        <w:rPr>
          <w:rFonts w:hint="eastAsia" w:ascii="仿宋" w:hAnsi="仿宋" w:eastAsia="仿宋" w:cs="仿宋"/>
          <w:color w:val="auto"/>
          <w:sz w:val="32"/>
          <w:szCs w:val="32"/>
          <w:highlight w:val="none"/>
        </w:rPr>
        <w:t>】</w:t>
      </w:r>
    </w:p>
    <w:p w14:paraId="1FF573C9">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（一）推荐人应确保被推荐人信息的真实性、准确性及其获取该信息的合法性；推荐人应当已经得到被推荐人的授权可向兴业银行披露该信息，且被推荐人同意兴业银行可根据该信息与被推荐人直接联系。</w:t>
      </w:r>
    </w:p>
    <w:p w14:paraId="07D2FA42">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（二）被推荐人应同意兴业银行采集其在活动中登记的相关信息，以便完成本活动的参与、结果认定、活动奖励发放等相关事宜。</w:t>
      </w:r>
    </w:p>
    <w:p w14:paraId="023614A1">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b/>
          <w:bCs/>
          <w:color w:val="auto"/>
          <w:sz w:val="32"/>
          <w:szCs w:val="32"/>
          <w:highlight w:val="none"/>
        </w:rPr>
      </w:pPr>
      <w:r>
        <w:rPr>
          <w:rFonts w:hint="eastAsia" w:ascii="仿宋" w:hAnsi="仿宋" w:eastAsia="仿宋" w:cs="仿宋"/>
          <w:color w:val="auto"/>
          <w:sz w:val="32"/>
          <w:szCs w:val="32"/>
          <w:highlight w:val="none"/>
        </w:rPr>
        <w:t>（三）若违反上述规定，推荐即视为无效，兴业银行保留停止发放活动奖励与收回活动奖励的权利。</w:t>
      </w:r>
    </w:p>
    <w:p w14:paraId="0AE081BE">
      <w:pPr>
        <w:keepNext w:val="0"/>
        <w:keepLines w:val="0"/>
        <w:pageBreakBefore w:val="0"/>
        <w:kinsoku/>
        <w:wordWrap/>
        <w:overflowPunct/>
        <w:topLinePunct w:val="0"/>
        <w:autoSpaceDE/>
        <w:autoSpaceDN/>
        <w:bidi w:val="0"/>
        <w:adjustRightInd/>
        <w:snapToGrid/>
        <w:spacing w:line="579" w:lineRule="exact"/>
        <w:ind w:left="0" w:lef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（四）</w:t>
      </w:r>
      <w:r>
        <w:rPr>
          <w:rFonts w:hint="eastAsia" w:ascii="仿宋" w:hAnsi="仿宋" w:eastAsia="仿宋" w:cs="仿宋"/>
          <w:color w:val="auto"/>
          <w:sz w:val="32"/>
          <w:szCs w:val="32"/>
          <w:highlight w:val="none"/>
          <w:lang w:val="en-US" w:eastAsia="zh-CN"/>
        </w:rPr>
        <w:t>客户若作为被推荐人参加推荐客户赢好礼（MGM）活动的，在参加MGM活动期间，不重复参加兴业银行“兴成长-晋级有礼”活动。若未达MGM奖励标准的，后续可以继续参加“兴成长-晋级有礼”活动。</w:t>
      </w:r>
    </w:p>
    <w:p w14:paraId="32327E3C">
      <w:pPr>
        <w:keepNext w:val="0"/>
        <w:keepLines w:val="0"/>
        <w:pageBreakBefore w:val="0"/>
        <w:kinsoku/>
        <w:wordWrap/>
        <w:overflowPunct/>
        <w:topLinePunct w:val="0"/>
        <w:autoSpaceDE/>
        <w:autoSpaceDN/>
        <w:bidi w:val="0"/>
        <w:adjustRightInd/>
        <w:snapToGrid/>
        <w:spacing w:line="579" w:lineRule="exact"/>
        <w:ind w:left="0" w:leftChars="0"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客户若作为推荐人参加MGM活动的，则可以同时参加“兴成长-晋级有礼”活动，达标后可获得相应活动积点奖励。</w:t>
      </w:r>
    </w:p>
    <w:p w14:paraId="7237895A">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五</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本条款中“礼品”特指客户使用借记卡积点兑换的礼品。</w:t>
      </w:r>
      <w:r>
        <w:rPr>
          <w:rFonts w:hint="eastAsia" w:ascii="仿宋" w:hAnsi="仿宋" w:eastAsia="仿宋" w:cs="仿宋"/>
          <w:color w:val="auto"/>
          <w:sz w:val="32"/>
          <w:szCs w:val="32"/>
          <w:highlight w:val="none"/>
        </w:rPr>
        <w:t>除适用法律另有规定外，兴业银行将配合</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积点换礼</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专区</w:t>
      </w:r>
      <w:r>
        <w:rPr>
          <w:rFonts w:hint="eastAsia" w:ascii="仿宋" w:hAnsi="仿宋" w:eastAsia="仿宋" w:cs="仿宋"/>
          <w:color w:val="auto"/>
          <w:sz w:val="32"/>
          <w:szCs w:val="32"/>
          <w:highlight w:val="none"/>
        </w:rPr>
        <w:t>礼品供应商或生产商提供与礼品的质量、使用、维修或版权有关的事宜</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任何有关礼品的质量、使用、维修或版权之责任，由相应的礼品供应商或生产商承担。</w:t>
      </w:r>
      <w:r>
        <w:rPr>
          <w:rFonts w:hint="eastAsia" w:ascii="仿宋" w:hAnsi="仿宋" w:eastAsia="仿宋" w:cs="仿宋"/>
          <w:color w:val="auto"/>
          <w:sz w:val="32"/>
          <w:szCs w:val="32"/>
          <w:highlight w:val="none"/>
          <w:lang w:val="en-US" w:eastAsia="zh-CN"/>
        </w:rPr>
        <w:t>礼品供应商或生产商联系方式可在商品详情页-商家信息栏查询。</w:t>
      </w:r>
      <w:r>
        <w:rPr>
          <w:rFonts w:hint="eastAsia" w:ascii="仿宋" w:hAnsi="仿宋" w:eastAsia="仿宋" w:cs="仿宋"/>
          <w:color w:val="auto"/>
          <w:sz w:val="32"/>
          <w:szCs w:val="32"/>
          <w:highlight w:val="none"/>
        </w:rPr>
        <w:t>若客户需要，兴业银行可协助</w:t>
      </w:r>
      <w:r>
        <w:rPr>
          <w:rFonts w:hint="eastAsia" w:ascii="仿宋" w:hAnsi="仿宋" w:eastAsia="仿宋" w:cs="仿宋"/>
          <w:color w:val="auto"/>
          <w:sz w:val="32"/>
          <w:szCs w:val="32"/>
          <w:highlight w:val="none"/>
          <w:lang w:val="en-US" w:eastAsia="zh-CN"/>
        </w:rPr>
        <w:t>客户</w:t>
      </w:r>
      <w:r>
        <w:rPr>
          <w:rFonts w:hint="eastAsia" w:ascii="仿宋" w:hAnsi="仿宋" w:eastAsia="仿宋" w:cs="仿宋"/>
          <w:color w:val="auto"/>
          <w:sz w:val="32"/>
          <w:szCs w:val="32"/>
          <w:highlight w:val="none"/>
        </w:rPr>
        <w:t>联系礼品供应商或生产商</w:t>
      </w:r>
      <w:r>
        <w:rPr>
          <w:rFonts w:hint="eastAsia" w:ascii="仿宋" w:hAnsi="仿宋" w:eastAsia="仿宋" w:cs="仿宋"/>
          <w:color w:val="auto"/>
          <w:sz w:val="32"/>
          <w:szCs w:val="32"/>
          <w:highlight w:val="none"/>
          <w:lang w:eastAsia="zh-CN"/>
        </w:rPr>
        <w:t>。</w:t>
      </w:r>
    </w:p>
    <w:p w14:paraId="2AB0138C">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六</w:t>
      </w:r>
      <w:r>
        <w:rPr>
          <w:rFonts w:hint="eastAsia" w:ascii="仿宋" w:hAnsi="仿宋" w:eastAsia="仿宋" w:cs="仿宋"/>
          <w:color w:val="auto"/>
          <w:sz w:val="32"/>
          <w:szCs w:val="32"/>
          <w:highlight w:val="none"/>
        </w:rPr>
        <w:t>）所有与</w:t>
      </w:r>
      <w:r>
        <w:rPr>
          <w:rFonts w:hint="eastAsia" w:ascii="仿宋" w:hAnsi="仿宋" w:eastAsia="仿宋" w:cs="仿宋"/>
          <w:color w:val="auto"/>
          <w:sz w:val="32"/>
          <w:szCs w:val="32"/>
          <w:highlight w:val="none"/>
          <w:lang w:val="en-US" w:eastAsia="zh-CN"/>
        </w:rPr>
        <w:t>积点</w:t>
      </w:r>
      <w:r>
        <w:rPr>
          <w:rFonts w:hint="eastAsia" w:ascii="仿宋" w:hAnsi="仿宋" w:eastAsia="仿宋" w:cs="仿宋"/>
          <w:color w:val="auto"/>
          <w:sz w:val="32"/>
          <w:szCs w:val="32"/>
          <w:highlight w:val="none"/>
        </w:rPr>
        <w:t>兑换礼品有关的税费由客户自行申报承担。</w:t>
      </w:r>
    </w:p>
    <w:p w14:paraId="3059F2AB">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七</w:t>
      </w:r>
      <w:r>
        <w:rPr>
          <w:rFonts w:hint="eastAsia" w:ascii="仿宋" w:hAnsi="仿宋" w:eastAsia="仿宋" w:cs="仿宋"/>
          <w:color w:val="auto"/>
          <w:sz w:val="32"/>
          <w:szCs w:val="32"/>
          <w:highlight w:val="none"/>
        </w:rPr>
        <w:t>）推荐人如有恶意欺诈、舞弊情况的，兴业银行有权取消推荐人参加推荐客户赢好礼活动及获赠奖励的权利。</w:t>
      </w:r>
    </w:p>
    <w:p w14:paraId="782FE9E4">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八</w:t>
      </w:r>
      <w:r>
        <w:rPr>
          <w:rFonts w:hint="eastAsia" w:ascii="仿宋" w:hAnsi="仿宋" w:eastAsia="仿宋" w:cs="仿宋"/>
          <w:color w:val="auto"/>
          <w:sz w:val="32"/>
          <w:szCs w:val="32"/>
          <w:highlight w:val="none"/>
        </w:rPr>
        <w:t>）部分营销活动与推荐客户赢好礼活动不可同时获得奖励，具体以营销活动细则为准。</w:t>
      </w:r>
    </w:p>
    <w:p w14:paraId="78069A4D">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九</w:t>
      </w:r>
      <w:r>
        <w:rPr>
          <w:rFonts w:hint="eastAsia" w:ascii="仿宋" w:hAnsi="仿宋" w:eastAsia="仿宋" w:cs="仿宋"/>
          <w:color w:val="auto"/>
          <w:sz w:val="32"/>
          <w:szCs w:val="32"/>
          <w:highlight w:val="none"/>
        </w:rPr>
        <w:t>）兴业银行零售条线网点营销人员不参与此次活动。</w:t>
      </w:r>
    </w:p>
    <w:p w14:paraId="68A852F2">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十</w:t>
      </w:r>
      <w:r>
        <w:rPr>
          <w:rFonts w:hint="eastAsia" w:ascii="仿宋" w:hAnsi="仿宋" w:eastAsia="仿宋" w:cs="仿宋"/>
          <w:color w:val="auto"/>
          <w:sz w:val="32"/>
          <w:szCs w:val="32"/>
          <w:highlight w:val="none"/>
        </w:rPr>
        <w:t>）兴业银行有权在中国法律允许的范围内修改、变更本活动条款及细则，并通过官方渠道公告。</w:t>
      </w:r>
      <w:r>
        <w:rPr>
          <w:rFonts w:hint="eastAsia" w:ascii="仿宋" w:hAnsi="仿宋" w:eastAsia="仿宋" w:cs="仿宋"/>
          <w:color w:val="auto"/>
          <w:sz w:val="32"/>
          <w:szCs w:val="32"/>
          <w:highlight w:val="none"/>
          <w:lang w:val="en-US" w:eastAsia="zh-CN"/>
        </w:rPr>
        <w:t>客户可通过兴业银行官方网站、兴业银行手机银行App等官方渠道查询条款或细则变更内容。</w:t>
      </w:r>
    </w:p>
    <w:p w14:paraId="3136CAA9">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十一</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lang w:val="en-US" w:eastAsia="zh-CN"/>
        </w:rPr>
        <w:t>客户若对活动有任何疑问，请咨询兴业银行客户服务热线95561，或向您身边的兴业银行网点、您的理财经理/客户经理咨询。</w:t>
      </w:r>
      <w:r>
        <w:rPr>
          <w:rFonts w:hint="eastAsia" w:ascii="仿宋" w:hAnsi="仿宋" w:eastAsia="仿宋" w:cs="仿宋"/>
          <w:color w:val="auto"/>
          <w:sz w:val="32"/>
          <w:szCs w:val="32"/>
          <w:highlight w:val="none"/>
        </w:rPr>
        <w:br w:type="textWrapping"/>
      </w:r>
    </w:p>
    <w:p w14:paraId="6EC1558E">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【附则】</w:t>
      </w:r>
    </w:p>
    <w:p w14:paraId="27565F73">
      <w:pPr>
        <w:pStyle w:val="2"/>
        <w:keepNext w:val="0"/>
        <w:keepLines w:val="0"/>
        <w:pageBreakBefore w:val="0"/>
        <w:widowControl/>
        <w:kinsoku/>
        <w:wordWrap/>
        <w:overflowPunct/>
        <w:topLinePunct w:val="0"/>
        <w:autoSpaceDE/>
        <w:autoSpaceDN/>
        <w:bidi w:val="0"/>
        <w:adjustRightInd/>
        <w:snapToGrid/>
        <w:spacing w:line="579" w:lineRule="exact"/>
        <w:ind w:firstLine="643" w:firstLineChars="200"/>
        <w:textAlignment w:val="auto"/>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客户层级</w:t>
      </w:r>
    </w:p>
    <w:p w14:paraId="16186237">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default" w:ascii="仿宋" w:hAnsi="仿宋" w:eastAsia="仿宋" w:cs="仿宋"/>
          <w:b w:val="0"/>
          <w:bCs w:val="0"/>
          <w:color w:val="auto"/>
          <w:sz w:val="32"/>
          <w:szCs w:val="32"/>
          <w:highlight w:val="none"/>
          <w:lang w:val="en-US" w:eastAsia="zh-CN"/>
        </w:rPr>
      </w:pPr>
      <w:r>
        <w:rPr>
          <w:rFonts w:hint="eastAsia" w:ascii="仿宋" w:hAnsi="仿宋" w:eastAsia="仿宋" w:cs="仿宋"/>
          <w:b w:val="0"/>
          <w:bCs w:val="0"/>
          <w:color w:val="auto"/>
          <w:sz w:val="32"/>
          <w:szCs w:val="32"/>
          <w:highlight w:val="none"/>
          <w:lang w:val="en-US" w:eastAsia="zh-CN"/>
        </w:rPr>
        <w:t>客户层级根据客户上月在兴业银行的月日均评级金融资产计算评定。</w:t>
      </w:r>
    </w:p>
    <w:p w14:paraId="60E7751C">
      <w:pPr>
        <w:pStyle w:val="2"/>
        <w:keepNext w:val="0"/>
        <w:keepLines w:val="0"/>
        <w:pageBreakBefore w:val="0"/>
        <w:widowControl/>
        <w:kinsoku/>
        <w:wordWrap/>
        <w:overflowPunct/>
        <w:topLinePunct w:val="0"/>
        <w:autoSpaceDE/>
        <w:autoSpaceDN/>
        <w:bidi w:val="0"/>
        <w:adjustRightInd/>
        <w:snapToGrid/>
        <w:spacing w:line="579" w:lineRule="exact"/>
        <w:ind w:firstLine="643" w:firstLineChars="200"/>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金融资产</w:t>
      </w:r>
    </w:p>
    <w:p w14:paraId="0D57EF0A">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1.月日均综合金融资产，指每日综合金融资产余额加总后，按月份自然日总天数进行算术平均，各细项金融资产权重系数均为1。</w:t>
      </w:r>
    </w:p>
    <w:p w14:paraId="0F081984">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2.评级金融资产，指综合金融资产各组成项目，按照不同权重加权汇总。其中储蓄存款权重系数为2，其他综合金融资产权重系数为1。</w:t>
      </w:r>
    </w:p>
    <w:p w14:paraId="027FA869">
      <w:pPr>
        <w:pStyle w:val="2"/>
        <w:keepNext w:val="0"/>
        <w:keepLines w:val="0"/>
        <w:pageBreakBefore w:val="0"/>
        <w:widowControl/>
        <w:kinsoku/>
        <w:wordWrap/>
        <w:overflowPunct/>
        <w:topLinePunct w:val="0"/>
        <w:autoSpaceDE/>
        <w:autoSpaceDN/>
        <w:bidi w:val="0"/>
        <w:adjustRightInd/>
        <w:snapToGrid/>
        <w:spacing w:line="579" w:lineRule="exact"/>
        <w:ind w:firstLine="640" w:firstLineChars="2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3.月日均评级金融资产，指当月每日评级金融资产余额加总后，按该月份自然日总天数进行算术平均。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国标宋体-超大字符集扩">
    <w:panose1 w:val="00000500000000000000"/>
    <w:charset w:val="86"/>
    <w:family w:val="auto"/>
    <w:pitch w:val="default"/>
    <w:sig w:usb0="00000001" w:usb1="08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1A7"/>
    <w:rsid w:val="000B5093"/>
    <w:rsid w:val="000D66A0"/>
    <w:rsid w:val="001841A7"/>
    <w:rsid w:val="00205902"/>
    <w:rsid w:val="00536C71"/>
    <w:rsid w:val="00555021"/>
    <w:rsid w:val="007B5A50"/>
    <w:rsid w:val="00AE6DA9"/>
    <w:rsid w:val="00C80FF9"/>
    <w:rsid w:val="00CF5F35"/>
    <w:rsid w:val="00D629A7"/>
    <w:rsid w:val="017B168F"/>
    <w:rsid w:val="01873C51"/>
    <w:rsid w:val="02980131"/>
    <w:rsid w:val="029E534D"/>
    <w:rsid w:val="02DA53C9"/>
    <w:rsid w:val="06C56709"/>
    <w:rsid w:val="07653D6E"/>
    <w:rsid w:val="082039C6"/>
    <w:rsid w:val="098552EA"/>
    <w:rsid w:val="0C0C1AA9"/>
    <w:rsid w:val="0CBD5736"/>
    <w:rsid w:val="0D3D51D5"/>
    <w:rsid w:val="0DC60CBB"/>
    <w:rsid w:val="0E627CD3"/>
    <w:rsid w:val="0F0A54CC"/>
    <w:rsid w:val="11191A57"/>
    <w:rsid w:val="123C1968"/>
    <w:rsid w:val="123D6CDE"/>
    <w:rsid w:val="124906DD"/>
    <w:rsid w:val="13E65869"/>
    <w:rsid w:val="14F559ED"/>
    <w:rsid w:val="157B3725"/>
    <w:rsid w:val="186233CE"/>
    <w:rsid w:val="189728EF"/>
    <w:rsid w:val="18E96844"/>
    <w:rsid w:val="19EB263B"/>
    <w:rsid w:val="1B942357"/>
    <w:rsid w:val="1CB81B0C"/>
    <w:rsid w:val="1E9E1616"/>
    <w:rsid w:val="1F107563"/>
    <w:rsid w:val="20A37B5B"/>
    <w:rsid w:val="25174CE3"/>
    <w:rsid w:val="252E2D2B"/>
    <w:rsid w:val="26450163"/>
    <w:rsid w:val="288E322D"/>
    <w:rsid w:val="29EC55A0"/>
    <w:rsid w:val="2AB27B98"/>
    <w:rsid w:val="2C175E66"/>
    <w:rsid w:val="2C281763"/>
    <w:rsid w:val="2C3F000C"/>
    <w:rsid w:val="2F1B3193"/>
    <w:rsid w:val="2F6417A5"/>
    <w:rsid w:val="30427281"/>
    <w:rsid w:val="30752A96"/>
    <w:rsid w:val="34E15190"/>
    <w:rsid w:val="355F714C"/>
    <w:rsid w:val="36A4440A"/>
    <w:rsid w:val="36DA071A"/>
    <w:rsid w:val="391959A4"/>
    <w:rsid w:val="3BED2DC4"/>
    <w:rsid w:val="3DD226EE"/>
    <w:rsid w:val="3EE779C0"/>
    <w:rsid w:val="41E03110"/>
    <w:rsid w:val="42071421"/>
    <w:rsid w:val="427C7407"/>
    <w:rsid w:val="45D74323"/>
    <w:rsid w:val="47745A86"/>
    <w:rsid w:val="47AE78F9"/>
    <w:rsid w:val="47B37529"/>
    <w:rsid w:val="49C22242"/>
    <w:rsid w:val="4CF51628"/>
    <w:rsid w:val="4EE9538A"/>
    <w:rsid w:val="4EFBD75B"/>
    <w:rsid w:val="4F0C62D8"/>
    <w:rsid w:val="50CC5DF3"/>
    <w:rsid w:val="52182131"/>
    <w:rsid w:val="58465159"/>
    <w:rsid w:val="58A41537"/>
    <w:rsid w:val="590C1772"/>
    <w:rsid w:val="5A653BF3"/>
    <w:rsid w:val="5B4A7C5A"/>
    <w:rsid w:val="5DBF3827"/>
    <w:rsid w:val="5E586DF6"/>
    <w:rsid w:val="5FAD77A2"/>
    <w:rsid w:val="625F3A56"/>
    <w:rsid w:val="657613B8"/>
    <w:rsid w:val="66154648"/>
    <w:rsid w:val="675E7D9D"/>
    <w:rsid w:val="67F23460"/>
    <w:rsid w:val="69890F8F"/>
    <w:rsid w:val="6A5B600D"/>
    <w:rsid w:val="6CA402F7"/>
    <w:rsid w:val="6D193A63"/>
    <w:rsid w:val="6D8816C6"/>
    <w:rsid w:val="6F8809F4"/>
    <w:rsid w:val="6F8D0B0E"/>
    <w:rsid w:val="72C71D8C"/>
    <w:rsid w:val="73031417"/>
    <w:rsid w:val="743975A8"/>
    <w:rsid w:val="744859A4"/>
    <w:rsid w:val="74815E7B"/>
    <w:rsid w:val="75BC0725"/>
    <w:rsid w:val="78585376"/>
    <w:rsid w:val="78EA3D7D"/>
    <w:rsid w:val="79420BDF"/>
    <w:rsid w:val="796D31A5"/>
    <w:rsid w:val="7C276EBD"/>
    <w:rsid w:val="7CE06452"/>
    <w:rsid w:val="7FAD2386"/>
    <w:rsid w:val="E6FF1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table" w:styleId="4">
    <w:name w:val="Table Grid"/>
    <w:basedOn w:val="3"/>
    <w:semiHidden/>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神州网信技术有限公司</Company>
  <Pages>7</Pages>
  <Words>386</Words>
  <Characters>2204</Characters>
  <Lines>18</Lines>
  <Paragraphs>5</Paragraphs>
  <TotalTime>1</TotalTime>
  <ScaleCrop>false</ScaleCrop>
  <LinksUpToDate>false</LinksUpToDate>
  <CharactersWithSpaces>2585</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2024-01-04T19:35:00Z</dcterms:created>
  <dc:creator>cib</dc:creator>
  <cp:lastModifiedBy>cib</cp:lastModifiedBy>
  <cp:lastPrinted>2025-07-25T00:22:00Z</cp:lastPrinted>
  <dcterms:modified xsi:type="dcterms:W3CDTF">2026-09-11T16:07:35Z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4C6EA4E299F84DBB938827EF2F3986BD</vt:lpwstr>
  </property>
  <property fmtid="{D5CDD505-2E9C-101B-9397-08002B2CF9AE}" pid="4" name="DSMMark">
    <vt:i4>0</vt:i4>
  </property>
</Properties>
</file>