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9228F" w14:textId="3756B217" w:rsidR="0028115D" w:rsidRPr="0028115D" w:rsidRDefault="0028115D" w:rsidP="0028115D">
      <w:pPr>
        <w:widowControl w:val="0"/>
        <w:spacing w:after="0" w:line="360" w:lineRule="auto"/>
        <w:ind w:left="0" w:firstLine="0"/>
        <w:jc w:val="both"/>
        <w:rPr>
          <w:rFonts w:ascii="Times New Roman" w:eastAsia="宋体" w:hAnsi="Times New Roman" w:cs="Times New Roman"/>
          <w:b/>
          <w:bCs/>
          <w:color w:val="auto"/>
          <w:sz w:val="21"/>
          <w:szCs w:val="20"/>
        </w:rPr>
      </w:pPr>
      <w:r w:rsidRPr="0028115D">
        <w:rPr>
          <w:rFonts w:ascii="Times New Roman" w:eastAsia="宋体" w:hAnsi="Times New Roman" w:cs="Times New Roman"/>
          <w:b/>
          <w:bCs/>
          <w:color w:val="auto"/>
          <w:sz w:val="21"/>
          <w:szCs w:val="20"/>
        </w:rPr>
        <w:t xml:space="preserve">A </w:t>
      </w:r>
      <w:r w:rsidRPr="0028115D">
        <w:rPr>
          <w:rFonts w:ascii="Times New Roman" w:eastAsia="宋体" w:hAnsi="Times New Roman" w:cs="Times New Roman"/>
          <w:b/>
          <w:bCs/>
          <w:color w:val="auto"/>
          <w:sz w:val="21"/>
          <w:szCs w:val="20"/>
        </w:rPr>
        <w:t>股代码</w:t>
      </w:r>
      <w:r w:rsidR="00666B49">
        <w:rPr>
          <w:rFonts w:ascii="Times New Roman" w:eastAsia="宋体" w:hAnsi="Times New Roman" w:cs="Times New Roman" w:hint="eastAsia"/>
          <w:b/>
          <w:bCs/>
          <w:color w:val="auto"/>
          <w:sz w:val="21"/>
          <w:szCs w:val="20"/>
        </w:rPr>
        <w:t>：</w:t>
      </w:r>
      <w:r w:rsidRPr="0028115D">
        <w:rPr>
          <w:rFonts w:ascii="Times New Roman" w:eastAsia="宋体" w:hAnsi="Times New Roman" w:cs="Times New Roman"/>
          <w:b/>
          <w:bCs/>
          <w:color w:val="auto"/>
          <w:sz w:val="21"/>
          <w:szCs w:val="20"/>
        </w:rPr>
        <w:t xml:space="preserve">601166                A </w:t>
      </w:r>
      <w:r w:rsidRPr="0028115D">
        <w:rPr>
          <w:rFonts w:ascii="Times New Roman" w:eastAsia="宋体" w:hAnsi="Times New Roman" w:cs="Times New Roman"/>
          <w:b/>
          <w:bCs/>
          <w:color w:val="auto"/>
          <w:sz w:val="21"/>
          <w:szCs w:val="20"/>
        </w:rPr>
        <w:t>股简称</w:t>
      </w:r>
      <w:r w:rsidR="00666B49">
        <w:rPr>
          <w:rFonts w:ascii="Times New Roman" w:eastAsia="宋体" w:hAnsi="Times New Roman" w:cs="Times New Roman" w:hint="eastAsia"/>
          <w:b/>
          <w:bCs/>
          <w:color w:val="auto"/>
          <w:sz w:val="21"/>
          <w:szCs w:val="20"/>
        </w:rPr>
        <w:t>：</w:t>
      </w:r>
      <w:r w:rsidRPr="0028115D">
        <w:rPr>
          <w:rFonts w:ascii="Times New Roman" w:eastAsia="宋体" w:hAnsi="Times New Roman" w:cs="Times New Roman"/>
          <w:b/>
          <w:bCs/>
          <w:color w:val="auto"/>
          <w:sz w:val="21"/>
          <w:szCs w:val="20"/>
        </w:rPr>
        <w:t>兴业银行</w:t>
      </w:r>
      <w:r w:rsidRPr="0028115D">
        <w:rPr>
          <w:rFonts w:ascii="Times New Roman" w:eastAsia="宋体" w:hAnsi="Times New Roman" w:cs="Times New Roman"/>
          <w:b/>
          <w:bCs/>
          <w:color w:val="auto"/>
          <w:sz w:val="21"/>
          <w:szCs w:val="20"/>
        </w:rPr>
        <w:t xml:space="preserve">               </w:t>
      </w:r>
      <w:r w:rsidRPr="0028115D">
        <w:rPr>
          <w:rFonts w:ascii="Times New Roman" w:eastAsia="宋体" w:hAnsi="Times New Roman" w:cs="Times New Roman"/>
          <w:b/>
          <w:bCs/>
          <w:color w:val="auto"/>
          <w:sz w:val="21"/>
          <w:szCs w:val="20"/>
        </w:rPr>
        <w:t>编号</w:t>
      </w:r>
      <w:r w:rsidR="00666B49">
        <w:rPr>
          <w:rFonts w:ascii="Times New Roman" w:eastAsia="宋体" w:hAnsi="Times New Roman" w:cs="Times New Roman" w:hint="eastAsia"/>
          <w:b/>
          <w:bCs/>
          <w:color w:val="auto"/>
          <w:sz w:val="21"/>
          <w:szCs w:val="20"/>
        </w:rPr>
        <w:t>：</w:t>
      </w:r>
      <w:r w:rsidRPr="0028115D">
        <w:rPr>
          <w:rFonts w:ascii="Times New Roman" w:eastAsia="宋体" w:hAnsi="Times New Roman" w:cs="Times New Roman"/>
          <w:b/>
          <w:bCs/>
          <w:color w:val="auto"/>
          <w:sz w:val="21"/>
          <w:szCs w:val="20"/>
        </w:rPr>
        <w:t>临</w:t>
      </w:r>
      <w:r w:rsidRPr="0028115D">
        <w:rPr>
          <w:rFonts w:ascii="Times New Roman" w:eastAsia="宋体" w:hAnsi="Times New Roman" w:cs="Times New Roman"/>
          <w:b/>
          <w:bCs/>
          <w:color w:val="auto"/>
          <w:sz w:val="21"/>
          <w:szCs w:val="20"/>
        </w:rPr>
        <w:t xml:space="preserve"> 2021</w:t>
      </w:r>
      <w:r w:rsidRPr="0028115D">
        <w:rPr>
          <w:rFonts w:ascii="Times New Roman" w:eastAsia="宋体" w:hAnsi="Times New Roman" w:cs="Times New Roman" w:hint="eastAsia"/>
          <w:b/>
          <w:bCs/>
          <w:color w:val="auto"/>
          <w:sz w:val="21"/>
          <w:szCs w:val="20"/>
        </w:rPr>
        <w:t>-</w:t>
      </w:r>
      <w:r w:rsidR="00666B49">
        <w:rPr>
          <w:rFonts w:ascii="Times New Roman" w:eastAsia="宋体" w:hAnsi="Times New Roman" w:cs="Times New Roman" w:hint="eastAsia"/>
          <w:b/>
          <w:bCs/>
          <w:color w:val="auto"/>
          <w:sz w:val="21"/>
          <w:szCs w:val="20"/>
        </w:rPr>
        <w:t>0</w:t>
      </w:r>
      <w:r w:rsidR="00666B49">
        <w:rPr>
          <w:rFonts w:ascii="Times New Roman" w:eastAsia="宋体" w:hAnsi="Times New Roman" w:cs="Times New Roman"/>
          <w:b/>
          <w:bCs/>
          <w:color w:val="auto"/>
          <w:sz w:val="21"/>
          <w:szCs w:val="20"/>
        </w:rPr>
        <w:t>56</w:t>
      </w:r>
    </w:p>
    <w:p w14:paraId="07DA77E6" w14:textId="63366E7F" w:rsidR="0028115D" w:rsidRPr="0028115D" w:rsidRDefault="0028115D" w:rsidP="0028115D">
      <w:pPr>
        <w:ind w:left="-5"/>
        <w:rPr>
          <w:rFonts w:ascii="Times New Roman" w:eastAsia="宋体" w:hAnsi="Times New Roman" w:cs="Times New Roman"/>
          <w:b/>
          <w:bCs/>
          <w:color w:val="auto"/>
          <w:sz w:val="21"/>
          <w:szCs w:val="20"/>
        </w:rPr>
      </w:pPr>
      <w:r w:rsidRPr="0028115D">
        <w:rPr>
          <w:rFonts w:ascii="Times New Roman" w:eastAsia="宋体" w:hAnsi="Times New Roman" w:cs="Times New Roman"/>
          <w:b/>
          <w:bCs/>
          <w:color w:val="auto"/>
          <w:sz w:val="21"/>
          <w:szCs w:val="20"/>
        </w:rPr>
        <w:t>优先股代码：</w:t>
      </w:r>
      <w:r w:rsidRPr="0028115D">
        <w:rPr>
          <w:rFonts w:ascii="Times New Roman" w:eastAsia="宋体" w:hAnsi="Times New Roman" w:cs="Times New Roman"/>
          <w:b/>
          <w:bCs/>
          <w:color w:val="auto"/>
          <w:sz w:val="21"/>
          <w:szCs w:val="20"/>
        </w:rPr>
        <w:t>360005</w:t>
      </w:r>
      <w:r w:rsidRPr="0028115D">
        <w:rPr>
          <w:rFonts w:ascii="Times New Roman" w:eastAsia="宋体" w:hAnsi="Times New Roman" w:cs="Times New Roman"/>
          <w:b/>
          <w:bCs/>
          <w:color w:val="auto"/>
          <w:sz w:val="21"/>
          <w:szCs w:val="20"/>
        </w:rPr>
        <w:t>、</w:t>
      </w:r>
      <w:r w:rsidRPr="0028115D">
        <w:rPr>
          <w:rFonts w:ascii="Times New Roman" w:eastAsia="宋体" w:hAnsi="Times New Roman" w:cs="Times New Roman"/>
          <w:b/>
          <w:bCs/>
          <w:color w:val="auto"/>
          <w:sz w:val="21"/>
          <w:szCs w:val="20"/>
        </w:rPr>
        <w:t>360012</w:t>
      </w:r>
      <w:r w:rsidRPr="0028115D">
        <w:rPr>
          <w:rFonts w:ascii="Times New Roman" w:eastAsia="宋体" w:hAnsi="Times New Roman" w:cs="Times New Roman"/>
          <w:b/>
          <w:bCs/>
          <w:color w:val="auto"/>
          <w:sz w:val="21"/>
          <w:szCs w:val="20"/>
        </w:rPr>
        <w:t>、</w:t>
      </w:r>
      <w:r w:rsidRPr="0028115D">
        <w:rPr>
          <w:rFonts w:ascii="Times New Roman" w:eastAsia="宋体" w:hAnsi="Times New Roman" w:cs="Times New Roman"/>
          <w:b/>
          <w:bCs/>
          <w:color w:val="auto"/>
          <w:sz w:val="21"/>
          <w:szCs w:val="20"/>
        </w:rPr>
        <w:t xml:space="preserve">360032     </w:t>
      </w:r>
      <w:r w:rsidRPr="0028115D">
        <w:rPr>
          <w:rFonts w:ascii="Times New Roman" w:eastAsia="宋体" w:hAnsi="Times New Roman" w:cs="Times New Roman"/>
          <w:b/>
          <w:bCs/>
          <w:color w:val="auto"/>
          <w:sz w:val="21"/>
          <w:szCs w:val="20"/>
        </w:rPr>
        <w:t>优先股简称：兴业优</w:t>
      </w:r>
      <w:r w:rsidRPr="0028115D">
        <w:rPr>
          <w:rFonts w:ascii="Times New Roman" w:eastAsia="宋体" w:hAnsi="Times New Roman" w:cs="Times New Roman"/>
          <w:b/>
          <w:bCs/>
          <w:color w:val="auto"/>
          <w:sz w:val="21"/>
          <w:szCs w:val="20"/>
        </w:rPr>
        <w:t xml:space="preserve"> 1</w:t>
      </w:r>
      <w:r w:rsidRPr="0028115D">
        <w:rPr>
          <w:rFonts w:ascii="Times New Roman" w:eastAsia="宋体" w:hAnsi="Times New Roman" w:cs="Times New Roman"/>
          <w:b/>
          <w:bCs/>
          <w:color w:val="auto"/>
          <w:sz w:val="21"/>
          <w:szCs w:val="20"/>
        </w:rPr>
        <w:t>、兴业优</w:t>
      </w:r>
      <w:r w:rsidRPr="0028115D">
        <w:rPr>
          <w:rFonts w:ascii="Times New Roman" w:eastAsia="宋体" w:hAnsi="Times New Roman" w:cs="Times New Roman"/>
          <w:b/>
          <w:bCs/>
          <w:color w:val="auto"/>
          <w:sz w:val="21"/>
          <w:szCs w:val="20"/>
        </w:rPr>
        <w:t xml:space="preserve"> 2</w:t>
      </w:r>
      <w:r w:rsidRPr="0028115D">
        <w:rPr>
          <w:rFonts w:ascii="Times New Roman" w:eastAsia="宋体" w:hAnsi="Times New Roman" w:cs="Times New Roman"/>
          <w:b/>
          <w:bCs/>
          <w:color w:val="auto"/>
          <w:sz w:val="21"/>
          <w:szCs w:val="20"/>
        </w:rPr>
        <w:t>、兴业优</w:t>
      </w:r>
      <w:r w:rsidRPr="0028115D">
        <w:rPr>
          <w:rFonts w:ascii="Times New Roman" w:eastAsia="宋体" w:hAnsi="Times New Roman" w:cs="Times New Roman"/>
          <w:b/>
          <w:bCs/>
          <w:color w:val="auto"/>
          <w:sz w:val="21"/>
          <w:szCs w:val="20"/>
        </w:rPr>
        <w:t xml:space="preserve"> 3</w:t>
      </w:r>
    </w:p>
    <w:p w14:paraId="6F957404" w14:textId="24C9581A" w:rsidR="00CF71B1" w:rsidRDefault="008A4208" w:rsidP="00666B49">
      <w:pPr>
        <w:spacing w:beforeLines="100" w:before="240" w:line="360" w:lineRule="auto"/>
        <w:ind w:left="11" w:hanging="11"/>
        <w:jc w:val="center"/>
        <w:rPr>
          <w:rFonts w:eastAsia="黑体"/>
          <w:b/>
          <w:bCs/>
          <w:color w:val="FF0000"/>
          <w:sz w:val="36"/>
          <w:szCs w:val="36"/>
        </w:rPr>
      </w:pPr>
      <w:r>
        <w:rPr>
          <w:rFonts w:eastAsia="黑体" w:hint="eastAsia"/>
          <w:b/>
          <w:bCs/>
          <w:color w:val="FF0000"/>
          <w:sz w:val="36"/>
          <w:szCs w:val="36"/>
        </w:rPr>
        <w:t>兴业银行</w:t>
      </w:r>
      <w:r w:rsidR="00670C52">
        <w:rPr>
          <w:rFonts w:eastAsia="黑体" w:hint="eastAsia"/>
          <w:b/>
          <w:bCs/>
          <w:color w:val="FF0000"/>
          <w:sz w:val="36"/>
          <w:szCs w:val="36"/>
        </w:rPr>
        <w:t>股份有限公司</w:t>
      </w:r>
    </w:p>
    <w:p w14:paraId="5390A05C" w14:textId="77777777" w:rsidR="00CF71B1" w:rsidRDefault="00670C52">
      <w:pPr>
        <w:spacing w:line="360" w:lineRule="auto"/>
        <w:jc w:val="center"/>
        <w:rPr>
          <w:rFonts w:eastAsia="黑体"/>
          <w:b/>
          <w:bCs/>
          <w:color w:val="FF0000"/>
          <w:sz w:val="36"/>
          <w:szCs w:val="36"/>
        </w:rPr>
      </w:pPr>
      <w:r>
        <w:rPr>
          <w:rFonts w:eastAsia="黑体"/>
          <w:b/>
          <w:bCs/>
          <w:color w:val="FF0000"/>
          <w:sz w:val="36"/>
          <w:szCs w:val="36"/>
        </w:rPr>
        <w:t>公开发行可转换公司债</w:t>
      </w:r>
      <w:proofErr w:type="gramStart"/>
      <w:r>
        <w:rPr>
          <w:rFonts w:eastAsia="黑体"/>
          <w:b/>
          <w:bCs/>
          <w:color w:val="FF0000"/>
          <w:sz w:val="36"/>
          <w:szCs w:val="36"/>
        </w:rPr>
        <w:t>券</w:t>
      </w:r>
      <w:r>
        <w:rPr>
          <w:rFonts w:eastAsia="黑体" w:hint="eastAsia"/>
          <w:b/>
          <w:bCs/>
          <w:color w:val="FF0000"/>
          <w:sz w:val="36"/>
          <w:szCs w:val="36"/>
        </w:rPr>
        <w:t>网上</w:t>
      </w:r>
      <w:r>
        <w:rPr>
          <w:rFonts w:eastAsia="黑体"/>
          <w:b/>
          <w:bCs/>
          <w:color w:val="FF0000"/>
          <w:sz w:val="36"/>
          <w:szCs w:val="36"/>
        </w:rPr>
        <w:t>路</w:t>
      </w:r>
      <w:proofErr w:type="gramEnd"/>
      <w:r>
        <w:rPr>
          <w:rFonts w:eastAsia="黑体"/>
          <w:b/>
          <w:bCs/>
          <w:color w:val="FF0000"/>
          <w:sz w:val="36"/>
          <w:szCs w:val="36"/>
        </w:rPr>
        <w:t>演公告</w:t>
      </w:r>
    </w:p>
    <w:p w14:paraId="12B1FE16" w14:textId="77777777" w:rsidR="008A4208" w:rsidRPr="0041156A" w:rsidRDefault="008A4208" w:rsidP="007E6651">
      <w:pPr>
        <w:widowControl w:val="0"/>
        <w:snapToGrid w:val="0"/>
        <w:spacing w:after="0" w:line="360" w:lineRule="auto"/>
        <w:ind w:left="0" w:firstLine="0"/>
        <w:jc w:val="center"/>
        <w:rPr>
          <w:rFonts w:ascii="Times New Roman" w:eastAsia="宋体" w:hAnsi="Times New Roman" w:cs="Times New Roman"/>
          <w:b/>
          <w:color w:val="FF0000"/>
          <w:sz w:val="28"/>
          <w:szCs w:val="28"/>
        </w:rPr>
      </w:pPr>
      <w:r w:rsidRPr="0041156A">
        <w:rPr>
          <w:rFonts w:ascii="Times New Roman" w:eastAsia="宋体" w:hAnsi="Times New Roman" w:cs="Times New Roman" w:hint="eastAsia"/>
          <w:b/>
          <w:color w:val="FF0000"/>
          <w:sz w:val="28"/>
          <w:szCs w:val="28"/>
        </w:rPr>
        <w:t>联席保荐机构（</w:t>
      </w:r>
      <w:proofErr w:type="gramStart"/>
      <w:r w:rsidRPr="0041156A">
        <w:rPr>
          <w:rFonts w:ascii="Times New Roman" w:eastAsia="宋体" w:hAnsi="Times New Roman" w:cs="Times New Roman" w:hint="eastAsia"/>
          <w:b/>
          <w:color w:val="FF0000"/>
          <w:sz w:val="28"/>
          <w:szCs w:val="28"/>
        </w:rPr>
        <w:t>联席主</w:t>
      </w:r>
      <w:proofErr w:type="gramEnd"/>
      <w:r w:rsidRPr="0041156A">
        <w:rPr>
          <w:rFonts w:ascii="Times New Roman" w:eastAsia="宋体" w:hAnsi="Times New Roman" w:cs="Times New Roman" w:hint="eastAsia"/>
          <w:b/>
          <w:color w:val="FF0000"/>
          <w:sz w:val="28"/>
          <w:szCs w:val="28"/>
        </w:rPr>
        <w:t>承销商）：中</w:t>
      </w:r>
      <w:proofErr w:type="gramStart"/>
      <w:r w:rsidRPr="0041156A">
        <w:rPr>
          <w:rFonts w:ascii="Times New Roman" w:eastAsia="宋体" w:hAnsi="Times New Roman" w:cs="Times New Roman" w:hint="eastAsia"/>
          <w:b/>
          <w:color w:val="FF0000"/>
          <w:sz w:val="28"/>
          <w:szCs w:val="28"/>
        </w:rPr>
        <w:t>信建投证券</w:t>
      </w:r>
      <w:proofErr w:type="gramEnd"/>
      <w:r w:rsidRPr="0041156A">
        <w:rPr>
          <w:rFonts w:ascii="Times New Roman" w:eastAsia="宋体" w:hAnsi="Times New Roman" w:cs="Times New Roman" w:hint="eastAsia"/>
          <w:b/>
          <w:color w:val="FF0000"/>
          <w:sz w:val="28"/>
          <w:szCs w:val="28"/>
        </w:rPr>
        <w:t>股份有限公司</w:t>
      </w:r>
    </w:p>
    <w:p w14:paraId="516D5367" w14:textId="77777777" w:rsidR="008A4208" w:rsidRPr="0041156A" w:rsidRDefault="008A4208" w:rsidP="00D82917">
      <w:pPr>
        <w:widowControl w:val="0"/>
        <w:snapToGrid w:val="0"/>
        <w:spacing w:after="0" w:line="360" w:lineRule="auto"/>
        <w:ind w:left="0" w:firstLine="0"/>
        <w:jc w:val="center"/>
        <w:rPr>
          <w:rFonts w:ascii="Times New Roman" w:eastAsia="宋体" w:hAnsi="Times New Roman" w:cs="Times New Roman"/>
          <w:b/>
          <w:color w:val="FF0000"/>
          <w:sz w:val="28"/>
          <w:szCs w:val="28"/>
        </w:rPr>
      </w:pPr>
      <w:r w:rsidRPr="0041156A">
        <w:rPr>
          <w:rFonts w:ascii="Times New Roman" w:eastAsia="宋体" w:hAnsi="Times New Roman" w:cs="Times New Roman" w:hint="eastAsia"/>
          <w:b/>
          <w:color w:val="FF0000"/>
          <w:sz w:val="28"/>
          <w:szCs w:val="28"/>
        </w:rPr>
        <w:t>联席保荐机构（</w:t>
      </w:r>
      <w:proofErr w:type="gramStart"/>
      <w:r w:rsidRPr="0041156A">
        <w:rPr>
          <w:rFonts w:ascii="Times New Roman" w:eastAsia="宋体" w:hAnsi="Times New Roman" w:cs="Times New Roman" w:hint="eastAsia"/>
          <w:b/>
          <w:color w:val="FF0000"/>
          <w:sz w:val="28"/>
          <w:szCs w:val="28"/>
        </w:rPr>
        <w:t>联席主</w:t>
      </w:r>
      <w:proofErr w:type="gramEnd"/>
      <w:r w:rsidRPr="0041156A">
        <w:rPr>
          <w:rFonts w:ascii="Times New Roman" w:eastAsia="宋体" w:hAnsi="Times New Roman" w:cs="Times New Roman" w:hint="eastAsia"/>
          <w:b/>
          <w:color w:val="FF0000"/>
          <w:sz w:val="28"/>
          <w:szCs w:val="28"/>
        </w:rPr>
        <w:t>承销商）：兴业证券股份有限公司</w:t>
      </w:r>
    </w:p>
    <w:p w14:paraId="6A258635" w14:textId="77777777" w:rsidR="008A4208" w:rsidRPr="0041156A" w:rsidRDefault="008A4208" w:rsidP="00D82917">
      <w:pPr>
        <w:widowControl w:val="0"/>
        <w:snapToGrid w:val="0"/>
        <w:spacing w:after="0" w:line="360" w:lineRule="auto"/>
        <w:ind w:left="0" w:firstLine="0"/>
        <w:jc w:val="center"/>
        <w:rPr>
          <w:rFonts w:ascii="Times New Roman" w:eastAsia="宋体" w:hAnsi="Times New Roman" w:cs="Times New Roman"/>
          <w:b/>
          <w:color w:val="FF0000"/>
          <w:sz w:val="28"/>
          <w:szCs w:val="28"/>
        </w:rPr>
      </w:pPr>
      <w:proofErr w:type="gramStart"/>
      <w:r w:rsidRPr="0041156A">
        <w:rPr>
          <w:rFonts w:ascii="Times New Roman" w:eastAsia="宋体" w:hAnsi="Times New Roman" w:cs="Times New Roman" w:hint="eastAsia"/>
          <w:b/>
          <w:color w:val="FF0000"/>
          <w:sz w:val="28"/>
          <w:szCs w:val="28"/>
        </w:rPr>
        <w:t>联席主</w:t>
      </w:r>
      <w:proofErr w:type="gramEnd"/>
      <w:r w:rsidRPr="0041156A">
        <w:rPr>
          <w:rFonts w:ascii="Times New Roman" w:eastAsia="宋体" w:hAnsi="Times New Roman" w:cs="Times New Roman" w:hint="eastAsia"/>
          <w:b/>
          <w:color w:val="FF0000"/>
          <w:sz w:val="28"/>
          <w:szCs w:val="28"/>
        </w:rPr>
        <w:t>承销商：中信证券股份有限公司</w:t>
      </w:r>
    </w:p>
    <w:p w14:paraId="3C9A9FC2" w14:textId="77777777" w:rsidR="008A4208" w:rsidRPr="0041156A" w:rsidRDefault="008A4208" w:rsidP="00D82917">
      <w:pPr>
        <w:widowControl w:val="0"/>
        <w:snapToGrid w:val="0"/>
        <w:spacing w:after="0" w:line="360" w:lineRule="auto"/>
        <w:ind w:left="0" w:firstLine="0"/>
        <w:jc w:val="center"/>
        <w:rPr>
          <w:rFonts w:ascii="Times New Roman" w:eastAsia="宋体" w:hAnsi="Times New Roman" w:cs="Times New Roman"/>
          <w:b/>
          <w:color w:val="FF0000"/>
          <w:sz w:val="28"/>
          <w:szCs w:val="28"/>
        </w:rPr>
      </w:pPr>
      <w:proofErr w:type="gramStart"/>
      <w:r w:rsidRPr="0041156A">
        <w:rPr>
          <w:rFonts w:ascii="Times New Roman" w:eastAsia="宋体" w:hAnsi="Times New Roman" w:cs="Times New Roman" w:hint="eastAsia"/>
          <w:b/>
          <w:color w:val="FF0000"/>
          <w:sz w:val="28"/>
          <w:szCs w:val="28"/>
        </w:rPr>
        <w:t>联席主</w:t>
      </w:r>
      <w:proofErr w:type="gramEnd"/>
      <w:r w:rsidRPr="0041156A">
        <w:rPr>
          <w:rFonts w:ascii="Times New Roman" w:eastAsia="宋体" w:hAnsi="Times New Roman" w:cs="Times New Roman" w:hint="eastAsia"/>
          <w:b/>
          <w:color w:val="FF0000"/>
          <w:sz w:val="28"/>
          <w:szCs w:val="28"/>
        </w:rPr>
        <w:t>承销商：华泰联合证券有限责任公司</w:t>
      </w:r>
    </w:p>
    <w:p w14:paraId="12EF9CA9" w14:textId="77777777" w:rsidR="008A4208" w:rsidRPr="0041156A" w:rsidRDefault="008A4208" w:rsidP="00D82917">
      <w:pPr>
        <w:widowControl w:val="0"/>
        <w:snapToGrid w:val="0"/>
        <w:spacing w:after="0" w:line="360" w:lineRule="auto"/>
        <w:ind w:left="0" w:firstLine="0"/>
        <w:jc w:val="center"/>
        <w:rPr>
          <w:rFonts w:ascii="Times New Roman" w:eastAsia="宋体" w:hAnsi="Times New Roman" w:cs="Times New Roman"/>
          <w:b/>
          <w:color w:val="FF0000"/>
          <w:sz w:val="28"/>
          <w:szCs w:val="28"/>
        </w:rPr>
      </w:pPr>
      <w:proofErr w:type="gramStart"/>
      <w:r w:rsidRPr="0041156A">
        <w:rPr>
          <w:rFonts w:ascii="Times New Roman" w:eastAsia="宋体" w:hAnsi="Times New Roman" w:cs="Times New Roman" w:hint="eastAsia"/>
          <w:b/>
          <w:color w:val="FF0000"/>
          <w:sz w:val="28"/>
          <w:szCs w:val="28"/>
        </w:rPr>
        <w:t>联席主</w:t>
      </w:r>
      <w:proofErr w:type="gramEnd"/>
      <w:r w:rsidRPr="0041156A">
        <w:rPr>
          <w:rFonts w:ascii="Times New Roman" w:eastAsia="宋体" w:hAnsi="Times New Roman" w:cs="Times New Roman" w:hint="eastAsia"/>
          <w:b/>
          <w:color w:val="FF0000"/>
          <w:sz w:val="28"/>
          <w:szCs w:val="28"/>
        </w:rPr>
        <w:t>承销商：中国国际金融股份有限公司</w:t>
      </w:r>
    </w:p>
    <w:p w14:paraId="0D59C84E" w14:textId="77777777" w:rsidR="008A4208" w:rsidRPr="0041156A" w:rsidRDefault="008A4208" w:rsidP="00D82917">
      <w:pPr>
        <w:widowControl w:val="0"/>
        <w:snapToGrid w:val="0"/>
        <w:spacing w:after="0" w:line="360" w:lineRule="auto"/>
        <w:ind w:left="0" w:firstLine="0"/>
        <w:jc w:val="center"/>
        <w:rPr>
          <w:rFonts w:ascii="Times New Roman" w:eastAsia="宋体" w:hAnsi="Times New Roman" w:cs="Times New Roman"/>
          <w:b/>
          <w:color w:val="FF0000"/>
          <w:sz w:val="28"/>
          <w:szCs w:val="28"/>
        </w:rPr>
      </w:pPr>
      <w:proofErr w:type="gramStart"/>
      <w:r w:rsidRPr="0041156A">
        <w:rPr>
          <w:rFonts w:ascii="Times New Roman" w:eastAsia="宋体" w:hAnsi="Times New Roman" w:cs="Times New Roman" w:hint="eastAsia"/>
          <w:b/>
          <w:color w:val="FF0000"/>
          <w:sz w:val="28"/>
          <w:szCs w:val="28"/>
        </w:rPr>
        <w:t>联席主</w:t>
      </w:r>
      <w:proofErr w:type="gramEnd"/>
      <w:r w:rsidRPr="0041156A">
        <w:rPr>
          <w:rFonts w:ascii="Times New Roman" w:eastAsia="宋体" w:hAnsi="Times New Roman" w:cs="Times New Roman" w:hint="eastAsia"/>
          <w:b/>
          <w:color w:val="FF0000"/>
          <w:sz w:val="28"/>
          <w:szCs w:val="28"/>
        </w:rPr>
        <w:t>承销商：中银国际证券股份有限公司</w:t>
      </w:r>
    </w:p>
    <w:p w14:paraId="486601B2" w14:textId="77777777" w:rsidR="008A4208" w:rsidRPr="0041156A" w:rsidRDefault="008A4208" w:rsidP="00D82917">
      <w:pPr>
        <w:widowControl w:val="0"/>
        <w:snapToGrid w:val="0"/>
        <w:spacing w:after="0" w:line="360" w:lineRule="auto"/>
        <w:ind w:left="0" w:firstLine="0"/>
        <w:jc w:val="center"/>
        <w:rPr>
          <w:rFonts w:ascii="Times New Roman" w:eastAsia="宋体" w:hAnsi="Times New Roman" w:cs="Times New Roman"/>
          <w:b/>
          <w:color w:val="FF0000"/>
          <w:sz w:val="28"/>
          <w:szCs w:val="28"/>
        </w:rPr>
      </w:pPr>
      <w:proofErr w:type="gramStart"/>
      <w:r w:rsidRPr="0041156A">
        <w:rPr>
          <w:rFonts w:ascii="Times New Roman" w:eastAsia="宋体" w:hAnsi="Times New Roman" w:cs="Times New Roman" w:hint="eastAsia"/>
          <w:b/>
          <w:color w:val="FF0000"/>
          <w:sz w:val="28"/>
          <w:szCs w:val="28"/>
        </w:rPr>
        <w:t>联席主</w:t>
      </w:r>
      <w:proofErr w:type="gramEnd"/>
      <w:r w:rsidRPr="0041156A">
        <w:rPr>
          <w:rFonts w:ascii="Times New Roman" w:eastAsia="宋体" w:hAnsi="Times New Roman" w:cs="Times New Roman" w:hint="eastAsia"/>
          <w:b/>
          <w:color w:val="FF0000"/>
          <w:sz w:val="28"/>
          <w:szCs w:val="28"/>
        </w:rPr>
        <w:t>承销商：国泰君安证券股份有限公司</w:t>
      </w:r>
    </w:p>
    <w:p w14:paraId="0C5BEDB2" w14:textId="77777777" w:rsidR="008A4208" w:rsidRPr="0041156A" w:rsidRDefault="008A4208" w:rsidP="00D82917">
      <w:pPr>
        <w:widowControl w:val="0"/>
        <w:snapToGrid w:val="0"/>
        <w:spacing w:after="0" w:line="360" w:lineRule="auto"/>
        <w:ind w:left="0" w:firstLine="0"/>
        <w:jc w:val="center"/>
        <w:rPr>
          <w:rFonts w:ascii="Times New Roman" w:eastAsia="宋体" w:hAnsi="Times New Roman" w:cs="Times New Roman"/>
          <w:b/>
          <w:color w:val="FF0000"/>
          <w:sz w:val="28"/>
          <w:szCs w:val="28"/>
        </w:rPr>
      </w:pPr>
      <w:proofErr w:type="gramStart"/>
      <w:r w:rsidRPr="0041156A">
        <w:rPr>
          <w:rFonts w:ascii="Times New Roman" w:eastAsia="宋体" w:hAnsi="Times New Roman" w:cs="Times New Roman" w:hint="eastAsia"/>
          <w:b/>
          <w:color w:val="FF0000"/>
          <w:sz w:val="28"/>
          <w:szCs w:val="28"/>
        </w:rPr>
        <w:t>联席主</w:t>
      </w:r>
      <w:proofErr w:type="gramEnd"/>
      <w:r w:rsidRPr="0041156A">
        <w:rPr>
          <w:rFonts w:ascii="Times New Roman" w:eastAsia="宋体" w:hAnsi="Times New Roman" w:cs="Times New Roman" w:hint="eastAsia"/>
          <w:b/>
          <w:color w:val="FF0000"/>
          <w:sz w:val="28"/>
          <w:szCs w:val="28"/>
        </w:rPr>
        <w:t>承销商：华福证券有限责任公司</w:t>
      </w:r>
    </w:p>
    <w:p w14:paraId="3F2A8B52" w14:textId="3DBA8BF3" w:rsidR="006D07EE" w:rsidRPr="0041156A" w:rsidRDefault="008A4208" w:rsidP="00D82917">
      <w:pPr>
        <w:widowControl w:val="0"/>
        <w:snapToGrid w:val="0"/>
        <w:spacing w:after="0" w:line="360" w:lineRule="auto"/>
        <w:ind w:left="0" w:firstLine="0"/>
        <w:jc w:val="center"/>
        <w:rPr>
          <w:rFonts w:ascii="Times New Roman" w:eastAsia="宋体" w:hAnsi="Times New Roman" w:cs="Times New Roman"/>
          <w:b/>
          <w:color w:val="FF0000"/>
          <w:sz w:val="28"/>
          <w:szCs w:val="28"/>
        </w:rPr>
      </w:pPr>
      <w:proofErr w:type="gramStart"/>
      <w:r w:rsidRPr="0041156A">
        <w:rPr>
          <w:rFonts w:ascii="Times New Roman" w:eastAsia="宋体" w:hAnsi="Times New Roman" w:cs="Times New Roman" w:hint="eastAsia"/>
          <w:b/>
          <w:color w:val="FF0000"/>
          <w:sz w:val="28"/>
          <w:szCs w:val="28"/>
        </w:rPr>
        <w:t>联席主</w:t>
      </w:r>
      <w:proofErr w:type="gramEnd"/>
      <w:r w:rsidRPr="0041156A">
        <w:rPr>
          <w:rFonts w:ascii="Times New Roman" w:eastAsia="宋体" w:hAnsi="Times New Roman" w:cs="Times New Roman" w:hint="eastAsia"/>
          <w:b/>
          <w:color w:val="FF0000"/>
          <w:sz w:val="28"/>
          <w:szCs w:val="28"/>
        </w:rPr>
        <w:t>承销商：红</w:t>
      </w:r>
      <w:proofErr w:type="gramStart"/>
      <w:r w:rsidRPr="0041156A">
        <w:rPr>
          <w:rFonts w:ascii="Times New Roman" w:eastAsia="宋体" w:hAnsi="Times New Roman" w:cs="Times New Roman" w:hint="eastAsia"/>
          <w:b/>
          <w:color w:val="FF0000"/>
          <w:sz w:val="28"/>
          <w:szCs w:val="28"/>
        </w:rPr>
        <w:t>塔证券</w:t>
      </w:r>
      <w:proofErr w:type="gramEnd"/>
      <w:r w:rsidRPr="0041156A">
        <w:rPr>
          <w:rFonts w:ascii="Times New Roman" w:eastAsia="宋体" w:hAnsi="Times New Roman" w:cs="Times New Roman" w:hint="eastAsia"/>
          <w:b/>
          <w:color w:val="FF0000"/>
          <w:sz w:val="28"/>
          <w:szCs w:val="28"/>
        </w:rPr>
        <w:t>股份有限公司</w:t>
      </w:r>
    </w:p>
    <w:p w14:paraId="5E2F8CE6" w14:textId="77777777" w:rsidR="00CF71B1" w:rsidRDefault="00CF71B1">
      <w:pPr>
        <w:widowControl w:val="0"/>
        <w:spacing w:after="0" w:line="360" w:lineRule="auto"/>
        <w:ind w:left="0" w:firstLine="0"/>
        <w:jc w:val="both"/>
        <w:rPr>
          <w:rFonts w:ascii="Times New Roman" w:eastAsia="宋体" w:hAnsi="Times New Roman" w:cs="Times New Roman"/>
          <w:b/>
          <w:kern w:val="0"/>
          <w:szCs w:val="24"/>
        </w:rPr>
      </w:pPr>
    </w:p>
    <w:p w14:paraId="613D31AA" w14:textId="77777777" w:rsidR="00CF71B1" w:rsidRPr="00666B49" w:rsidRDefault="00670C52">
      <w:pPr>
        <w:widowControl w:val="0"/>
        <w:spacing w:after="0" w:line="360" w:lineRule="auto"/>
        <w:ind w:left="0" w:firstLineChars="200" w:firstLine="480"/>
        <w:jc w:val="both"/>
        <w:rPr>
          <w:rFonts w:ascii="Times New Roman" w:eastAsia="宋体" w:hAnsi="Times New Roman" w:cs="Times New Roman"/>
          <w:bCs/>
          <w:kern w:val="0"/>
          <w:szCs w:val="24"/>
        </w:rPr>
      </w:pPr>
      <w:r w:rsidRPr="00666B49">
        <w:rPr>
          <w:rFonts w:ascii="Times New Roman" w:eastAsia="宋体" w:hAnsi="Times New Roman" w:cs="Times New Roman" w:hint="eastAsia"/>
          <w:bCs/>
          <w:kern w:val="0"/>
          <w:szCs w:val="24"/>
        </w:rPr>
        <w:t>本公司董事会及全体董事保证本公告内容不存在任何虚假记载、误导性陈述或者重大遗漏，并对其内容的真实性、准确性和完整性承担个别及连带责任。</w:t>
      </w:r>
    </w:p>
    <w:p w14:paraId="03A725FF" w14:textId="77777777" w:rsidR="006D07EE" w:rsidRDefault="006D07EE" w:rsidP="006D07EE">
      <w:pPr>
        <w:widowControl w:val="0"/>
        <w:spacing w:after="0" w:line="360" w:lineRule="auto"/>
        <w:ind w:left="0" w:firstLineChars="200" w:firstLine="480"/>
        <w:jc w:val="both"/>
        <w:rPr>
          <w:rFonts w:ascii="Times New Roman" w:eastAsia="宋体" w:hAnsi="Times New Roman" w:cs="Times New Roman"/>
          <w:kern w:val="0"/>
          <w:szCs w:val="24"/>
        </w:rPr>
      </w:pPr>
    </w:p>
    <w:p w14:paraId="2AFB0826" w14:textId="5C00C0A9" w:rsidR="004E2646" w:rsidRDefault="008A4208" w:rsidP="00595E4E">
      <w:pPr>
        <w:widowControl w:val="0"/>
        <w:spacing w:after="0" w:line="360" w:lineRule="auto"/>
        <w:ind w:left="0" w:firstLineChars="200" w:firstLine="480"/>
        <w:jc w:val="both"/>
        <w:rPr>
          <w:rFonts w:ascii="Times New Roman" w:eastAsia="宋体" w:hAnsi="Times New Roman" w:cs="Times New Roman"/>
          <w:kern w:val="0"/>
          <w:szCs w:val="24"/>
        </w:rPr>
      </w:pPr>
      <w:r>
        <w:rPr>
          <w:rFonts w:ascii="Times New Roman" w:eastAsia="宋体" w:hAnsi="Times New Roman" w:cs="Times New Roman" w:hint="eastAsia"/>
          <w:kern w:val="0"/>
          <w:szCs w:val="24"/>
        </w:rPr>
        <w:t>兴业银行</w:t>
      </w:r>
      <w:r w:rsidR="00595E4E">
        <w:rPr>
          <w:rFonts w:ascii="Times New Roman" w:eastAsia="宋体" w:hAnsi="Times New Roman" w:cs="Times New Roman" w:hint="eastAsia"/>
          <w:kern w:val="0"/>
          <w:szCs w:val="24"/>
        </w:rPr>
        <w:t>股份有限公司（以下简称“公司”或“发行人”）公开发行</w:t>
      </w:r>
      <w:r>
        <w:rPr>
          <w:rFonts w:ascii="Times New Roman" w:eastAsia="宋体" w:hAnsi="Times New Roman" w:cs="Times New Roman"/>
          <w:kern w:val="0"/>
          <w:szCs w:val="24"/>
        </w:rPr>
        <w:t>5</w:t>
      </w:r>
      <w:r w:rsidR="00595E4E">
        <w:rPr>
          <w:rFonts w:ascii="Times New Roman" w:eastAsia="宋体" w:hAnsi="Times New Roman" w:cs="Times New Roman"/>
          <w:kern w:val="0"/>
          <w:szCs w:val="24"/>
        </w:rPr>
        <w:t>00</w:t>
      </w:r>
      <w:r w:rsidR="00595E4E">
        <w:rPr>
          <w:rFonts w:ascii="Times New Roman" w:eastAsia="宋体" w:hAnsi="Times New Roman" w:cs="Times New Roman" w:hint="eastAsia"/>
          <w:kern w:val="0"/>
          <w:szCs w:val="24"/>
        </w:rPr>
        <w:t>亿元可转换公司债</w:t>
      </w:r>
      <w:proofErr w:type="gramStart"/>
      <w:r w:rsidR="00595E4E">
        <w:rPr>
          <w:rFonts w:ascii="Times New Roman" w:eastAsia="宋体" w:hAnsi="Times New Roman" w:cs="Times New Roman" w:hint="eastAsia"/>
          <w:kern w:val="0"/>
          <w:szCs w:val="24"/>
        </w:rPr>
        <w:t>券</w:t>
      </w:r>
      <w:proofErr w:type="gramEnd"/>
      <w:r w:rsidR="00595E4E">
        <w:rPr>
          <w:rFonts w:ascii="Times New Roman" w:eastAsia="宋体" w:hAnsi="Times New Roman" w:cs="Times New Roman" w:hint="eastAsia"/>
          <w:kern w:val="0"/>
          <w:szCs w:val="24"/>
        </w:rPr>
        <w:t>（以下简称“本次发行的可转换公司债</w:t>
      </w:r>
      <w:proofErr w:type="gramStart"/>
      <w:r w:rsidR="00595E4E">
        <w:rPr>
          <w:rFonts w:ascii="Times New Roman" w:eastAsia="宋体" w:hAnsi="Times New Roman" w:cs="Times New Roman" w:hint="eastAsia"/>
          <w:kern w:val="0"/>
          <w:szCs w:val="24"/>
        </w:rPr>
        <w:t>券</w:t>
      </w:r>
      <w:proofErr w:type="gramEnd"/>
      <w:r w:rsidR="00595E4E">
        <w:rPr>
          <w:rFonts w:ascii="Times New Roman" w:eastAsia="宋体" w:hAnsi="Times New Roman" w:cs="Times New Roman" w:hint="eastAsia"/>
          <w:kern w:val="0"/>
          <w:szCs w:val="24"/>
        </w:rPr>
        <w:t>”或“本次发行”，可转债简称“</w:t>
      </w:r>
      <w:r w:rsidR="007E6651">
        <w:rPr>
          <w:rFonts w:ascii="Times New Roman" w:eastAsia="宋体" w:hAnsi="Times New Roman" w:cs="Times New Roman" w:hint="eastAsia"/>
          <w:kern w:val="0"/>
          <w:szCs w:val="24"/>
        </w:rPr>
        <w:t>兴业</w:t>
      </w:r>
      <w:r>
        <w:rPr>
          <w:rFonts w:ascii="Times New Roman" w:eastAsia="宋体" w:hAnsi="Times New Roman" w:cs="Times New Roman" w:hint="eastAsia"/>
          <w:kern w:val="0"/>
          <w:szCs w:val="24"/>
        </w:rPr>
        <w:t>转债</w:t>
      </w:r>
      <w:r w:rsidR="00595E4E">
        <w:rPr>
          <w:rFonts w:ascii="Times New Roman" w:eastAsia="宋体" w:hAnsi="Times New Roman" w:cs="Times New Roman" w:hint="eastAsia"/>
          <w:kern w:val="0"/>
          <w:szCs w:val="24"/>
        </w:rPr>
        <w:t>”，债券代码“</w:t>
      </w:r>
      <w:r w:rsidR="00E57B61">
        <w:rPr>
          <w:rFonts w:ascii="Times New Roman" w:eastAsia="宋体" w:hAnsi="Times New Roman" w:cs="Times New Roman" w:hint="eastAsia"/>
          <w:kern w:val="0"/>
          <w:szCs w:val="24"/>
        </w:rPr>
        <w:t>1</w:t>
      </w:r>
      <w:r w:rsidR="00E57B61">
        <w:rPr>
          <w:rFonts w:ascii="Times New Roman" w:eastAsia="宋体" w:hAnsi="Times New Roman" w:cs="Times New Roman"/>
          <w:kern w:val="0"/>
          <w:szCs w:val="24"/>
        </w:rPr>
        <w:t>13052</w:t>
      </w:r>
      <w:r w:rsidR="00595E4E">
        <w:rPr>
          <w:rFonts w:ascii="Times New Roman" w:eastAsia="宋体" w:hAnsi="Times New Roman" w:cs="Times New Roman" w:hint="eastAsia"/>
          <w:kern w:val="0"/>
          <w:szCs w:val="24"/>
        </w:rPr>
        <w:t>”）已获得中国证券监督管理委员会证监许可</w:t>
      </w:r>
      <w:r w:rsidR="00595E4E">
        <w:rPr>
          <w:rFonts w:ascii="Times New Roman" w:eastAsia="宋体" w:hAnsi="Times New Roman" w:cs="Times New Roman" w:hint="eastAsia"/>
          <w:kern w:val="0"/>
          <w:szCs w:val="24"/>
        </w:rPr>
        <w:t>[</w:t>
      </w:r>
      <w:r w:rsidR="00595E4E">
        <w:rPr>
          <w:rFonts w:ascii="Times New Roman" w:eastAsia="宋体" w:hAnsi="Times New Roman" w:cs="Times New Roman"/>
          <w:kern w:val="0"/>
          <w:szCs w:val="24"/>
        </w:rPr>
        <w:t>2021</w:t>
      </w:r>
      <w:r w:rsidR="00595E4E">
        <w:rPr>
          <w:rFonts w:ascii="Times New Roman" w:eastAsia="宋体" w:hAnsi="Times New Roman" w:cs="Times New Roman" w:hint="eastAsia"/>
          <w:kern w:val="0"/>
          <w:szCs w:val="24"/>
        </w:rPr>
        <w:t>]</w:t>
      </w:r>
      <w:r w:rsidR="00D94917">
        <w:rPr>
          <w:rFonts w:ascii="Times New Roman" w:eastAsia="宋体" w:hAnsi="Times New Roman" w:cs="Times New Roman" w:hint="eastAsia"/>
          <w:kern w:val="0"/>
          <w:szCs w:val="24"/>
        </w:rPr>
        <w:t>3</w:t>
      </w:r>
      <w:r w:rsidR="00D94917">
        <w:rPr>
          <w:rFonts w:ascii="Times New Roman" w:eastAsia="宋体" w:hAnsi="Times New Roman" w:cs="Times New Roman"/>
          <w:kern w:val="0"/>
          <w:szCs w:val="24"/>
        </w:rPr>
        <w:t>927</w:t>
      </w:r>
      <w:r w:rsidR="00595E4E">
        <w:rPr>
          <w:rFonts w:ascii="Times New Roman" w:eastAsia="宋体" w:hAnsi="Times New Roman" w:cs="Times New Roman" w:hint="eastAsia"/>
          <w:kern w:val="0"/>
          <w:szCs w:val="24"/>
        </w:rPr>
        <w:t>号文核准。</w:t>
      </w:r>
      <w:r w:rsidR="004E2646" w:rsidRPr="004E2646">
        <w:rPr>
          <w:rFonts w:ascii="Times New Roman" w:eastAsia="宋体" w:hAnsi="Times New Roman" w:cs="Times New Roman" w:hint="eastAsia"/>
          <w:kern w:val="0"/>
          <w:szCs w:val="24"/>
        </w:rPr>
        <w:t>本次发行的联席保荐机构（</w:t>
      </w:r>
      <w:proofErr w:type="gramStart"/>
      <w:r w:rsidR="004E2646" w:rsidRPr="004E2646">
        <w:rPr>
          <w:rFonts w:ascii="Times New Roman" w:eastAsia="宋体" w:hAnsi="Times New Roman" w:cs="Times New Roman" w:hint="eastAsia"/>
          <w:kern w:val="0"/>
          <w:szCs w:val="24"/>
        </w:rPr>
        <w:t>联席主</w:t>
      </w:r>
      <w:proofErr w:type="gramEnd"/>
      <w:r w:rsidR="004E2646" w:rsidRPr="004E2646">
        <w:rPr>
          <w:rFonts w:ascii="Times New Roman" w:eastAsia="宋体" w:hAnsi="Times New Roman" w:cs="Times New Roman" w:hint="eastAsia"/>
          <w:kern w:val="0"/>
          <w:szCs w:val="24"/>
        </w:rPr>
        <w:t>承销商）为中</w:t>
      </w:r>
      <w:proofErr w:type="gramStart"/>
      <w:r w:rsidR="004E2646" w:rsidRPr="004E2646">
        <w:rPr>
          <w:rFonts w:ascii="Times New Roman" w:eastAsia="宋体" w:hAnsi="Times New Roman" w:cs="Times New Roman" w:hint="eastAsia"/>
          <w:kern w:val="0"/>
          <w:szCs w:val="24"/>
        </w:rPr>
        <w:t>信建投证券</w:t>
      </w:r>
      <w:proofErr w:type="gramEnd"/>
      <w:r w:rsidR="004E2646" w:rsidRPr="004E2646">
        <w:rPr>
          <w:rFonts w:ascii="Times New Roman" w:eastAsia="宋体" w:hAnsi="Times New Roman" w:cs="Times New Roman" w:hint="eastAsia"/>
          <w:kern w:val="0"/>
          <w:szCs w:val="24"/>
        </w:rPr>
        <w:t>股份有限公司（以下简称“中信建投证券”）</w:t>
      </w:r>
      <w:r w:rsidR="004E2646">
        <w:rPr>
          <w:rFonts w:ascii="Times New Roman" w:eastAsia="宋体" w:hAnsi="Times New Roman" w:cs="Times New Roman" w:hint="eastAsia"/>
          <w:kern w:val="0"/>
          <w:szCs w:val="24"/>
        </w:rPr>
        <w:t>和</w:t>
      </w:r>
      <w:r w:rsidR="005453ED">
        <w:rPr>
          <w:rFonts w:ascii="Times New Roman" w:eastAsia="宋体" w:hAnsi="Times New Roman" w:cs="Times New Roman" w:hint="eastAsia"/>
          <w:kern w:val="0"/>
          <w:szCs w:val="24"/>
        </w:rPr>
        <w:t>兴业</w:t>
      </w:r>
      <w:r w:rsidR="004E2646" w:rsidRPr="004E2646">
        <w:rPr>
          <w:rFonts w:ascii="Times New Roman" w:eastAsia="宋体" w:hAnsi="Times New Roman" w:cs="Times New Roman" w:hint="eastAsia"/>
          <w:kern w:val="0"/>
          <w:szCs w:val="24"/>
        </w:rPr>
        <w:t>证券股份有限公司（以下简称“</w:t>
      </w:r>
      <w:r w:rsidR="00D01728">
        <w:rPr>
          <w:rFonts w:ascii="Times New Roman" w:eastAsia="宋体" w:hAnsi="Times New Roman" w:cs="Times New Roman" w:hint="eastAsia"/>
          <w:kern w:val="0"/>
          <w:szCs w:val="24"/>
        </w:rPr>
        <w:t>兴业</w:t>
      </w:r>
      <w:r w:rsidR="004E2646" w:rsidRPr="004E2646">
        <w:rPr>
          <w:rFonts w:ascii="Times New Roman" w:eastAsia="宋体" w:hAnsi="Times New Roman" w:cs="Times New Roman" w:hint="eastAsia"/>
          <w:kern w:val="0"/>
          <w:szCs w:val="24"/>
        </w:rPr>
        <w:t>证券”）</w:t>
      </w:r>
      <w:r w:rsidR="004E2646">
        <w:rPr>
          <w:rFonts w:ascii="Times New Roman" w:eastAsia="宋体" w:hAnsi="Times New Roman" w:cs="Times New Roman" w:hint="eastAsia"/>
          <w:kern w:val="0"/>
          <w:szCs w:val="24"/>
        </w:rPr>
        <w:t>（中</w:t>
      </w:r>
      <w:proofErr w:type="gramStart"/>
      <w:r w:rsidR="004E2646">
        <w:rPr>
          <w:rFonts w:ascii="Times New Roman" w:eastAsia="宋体" w:hAnsi="Times New Roman" w:cs="Times New Roman" w:hint="eastAsia"/>
          <w:kern w:val="0"/>
          <w:szCs w:val="24"/>
        </w:rPr>
        <w:t>信建投证券</w:t>
      </w:r>
      <w:proofErr w:type="gramEnd"/>
      <w:r w:rsidR="004E2646">
        <w:rPr>
          <w:rFonts w:ascii="Times New Roman" w:eastAsia="宋体" w:hAnsi="Times New Roman" w:cs="Times New Roman" w:hint="eastAsia"/>
          <w:kern w:val="0"/>
          <w:szCs w:val="24"/>
        </w:rPr>
        <w:t>、兴业证券合称“联席保荐机构（联席主承销商）”）</w:t>
      </w:r>
      <w:r w:rsidR="004E2646" w:rsidRPr="004E2646">
        <w:rPr>
          <w:rFonts w:ascii="Times New Roman" w:eastAsia="宋体" w:hAnsi="Times New Roman" w:cs="Times New Roman" w:hint="eastAsia"/>
          <w:kern w:val="0"/>
          <w:szCs w:val="24"/>
        </w:rPr>
        <w:t>、</w:t>
      </w:r>
      <w:proofErr w:type="gramStart"/>
      <w:r w:rsidR="0045758A">
        <w:rPr>
          <w:rFonts w:ascii="Times New Roman" w:eastAsia="宋体" w:hAnsi="Times New Roman" w:cs="Times New Roman" w:hint="eastAsia"/>
          <w:kern w:val="0"/>
          <w:szCs w:val="24"/>
        </w:rPr>
        <w:t>联席主</w:t>
      </w:r>
      <w:proofErr w:type="gramEnd"/>
      <w:r w:rsidR="0045758A">
        <w:rPr>
          <w:rFonts w:ascii="Times New Roman" w:eastAsia="宋体" w:hAnsi="Times New Roman" w:cs="Times New Roman" w:hint="eastAsia"/>
          <w:kern w:val="0"/>
          <w:szCs w:val="24"/>
        </w:rPr>
        <w:t>承销商为</w:t>
      </w:r>
      <w:r w:rsidR="005453ED">
        <w:rPr>
          <w:rFonts w:ascii="Times New Roman" w:eastAsia="宋体" w:hAnsi="Times New Roman" w:cs="Times New Roman" w:hint="eastAsia"/>
          <w:kern w:val="0"/>
          <w:szCs w:val="24"/>
        </w:rPr>
        <w:t>中信证券股份有限公司（以下简称“中信证券”）、</w:t>
      </w:r>
      <w:r w:rsidR="004E2646" w:rsidRPr="004E2646">
        <w:rPr>
          <w:rFonts w:ascii="Times New Roman" w:eastAsia="宋体" w:hAnsi="Times New Roman" w:cs="Times New Roman" w:hint="eastAsia"/>
          <w:kern w:val="0"/>
          <w:szCs w:val="24"/>
        </w:rPr>
        <w:t>华泰联合证券有限责任公司（以下简称“华泰联合证券”）、中国国际金融股份有限公司（以下简称“中金公司”）、中银国际证券股份有限公司</w:t>
      </w:r>
      <w:r w:rsidR="004E2646" w:rsidRPr="004E2646">
        <w:rPr>
          <w:rFonts w:ascii="Times New Roman" w:eastAsia="宋体" w:hAnsi="Times New Roman" w:cs="Times New Roman" w:hint="eastAsia"/>
          <w:kern w:val="0"/>
          <w:szCs w:val="24"/>
        </w:rPr>
        <w:lastRenderedPageBreak/>
        <w:t>（以下简称“中银证券”）、国泰君安证券股份有限公司（以下简称“国泰君安证券”）、华福证券有限责任公司（以下简称“华福证券”）、红</w:t>
      </w:r>
      <w:proofErr w:type="gramStart"/>
      <w:r w:rsidR="004E2646" w:rsidRPr="004E2646">
        <w:rPr>
          <w:rFonts w:ascii="Times New Roman" w:eastAsia="宋体" w:hAnsi="Times New Roman" w:cs="Times New Roman" w:hint="eastAsia"/>
          <w:kern w:val="0"/>
          <w:szCs w:val="24"/>
        </w:rPr>
        <w:t>塔证券</w:t>
      </w:r>
      <w:proofErr w:type="gramEnd"/>
      <w:r w:rsidR="004E2646" w:rsidRPr="004E2646">
        <w:rPr>
          <w:rFonts w:ascii="Times New Roman" w:eastAsia="宋体" w:hAnsi="Times New Roman" w:cs="Times New Roman" w:hint="eastAsia"/>
          <w:kern w:val="0"/>
          <w:szCs w:val="24"/>
        </w:rPr>
        <w:t>股份有限公司（以下简称“红塔证券”）（中</w:t>
      </w:r>
      <w:proofErr w:type="gramStart"/>
      <w:r w:rsidR="004E2646" w:rsidRPr="004E2646">
        <w:rPr>
          <w:rFonts w:ascii="Times New Roman" w:eastAsia="宋体" w:hAnsi="Times New Roman" w:cs="Times New Roman" w:hint="eastAsia"/>
          <w:kern w:val="0"/>
          <w:szCs w:val="24"/>
        </w:rPr>
        <w:t>信建投证券</w:t>
      </w:r>
      <w:proofErr w:type="gramEnd"/>
      <w:r w:rsidR="004E2646" w:rsidRPr="004E2646">
        <w:rPr>
          <w:rFonts w:ascii="Times New Roman" w:eastAsia="宋体" w:hAnsi="Times New Roman" w:cs="Times New Roman" w:hint="eastAsia"/>
          <w:kern w:val="0"/>
          <w:szCs w:val="24"/>
        </w:rPr>
        <w:t>、兴业证券、中信证券、华泰联合证券、中金公司、中银证券、国泰君安证券、华福证券、红</w:t>
      </w:r>
      <w:proofErr w:type="gramStart"/>
      <w:r w:rsidR="004E2646" w:rsidRPr="004E2646">
        <w:rPr>
          <w:rFonts w:ascii="Times New Roman" w:eastAsia="宋体" w:hAnsi="Times New Roman" w:cs="Times New Roman" w:hint="eastAsia"/>
          <w:kern w:val="0"/>
          <w:szCs w:val="24"/>
        </w:rPr>
        <w:t>塔证券合称“联席主</w:t>
      </w:r>
      <w:proofErr w:type="gramEnd"/>
      <w:r w:rsidR="004E2646" w:rsidRPr="004E2646">
        <w:rPr>
          <w:rFonts w:ascii="Times New Roman" w:eastAsia="宋体" w:hAnsi="Times New Roman" w:cs="Times New Roman" w:hint="eastAsia"/>
          <w:kern w:val="0"/>
          <w:szCs w:val="24"/>
        </w:rPr>
        <w:t>承销商”）。</w:t>
      </w:r>
    </w:p>
    <w:p w14:paraId="4358CBA9" w14:textId="036A95A2" w:rsidR="00595E4E" w:rsidRPr="006D07EE" w:rsidRDefault="00595E4E" w:rsidP="00595E4E">
      <w:pPr>
        <w:widowControl w:val="0"/>
        <w:spacing w:after="0" w:line="360" w:lineRule="auto"/>
        <w:ind w:left="0" w:firstLineChars="200" w:firstLine="480"/>
        <w:jc w:val="both"/>
        <w:rPr>
          <w:rFonts w:ascii="Times New Roman" w:eastAsia="宋体" w:hAnsi="Times New Roman" w:cs="Times New Roman"/>
          <w:kern w:val="0"/>
          <w:szCs w:val="24"/>
        </w:rPr>
      </w:pPr>
      <w:r>
        <w:rPr>
          <w:rFonts w:ascii="Times New Roman" w:eastAsia="宋体" w:hAnsi="Times New Roman" w:cs="Times New Roman" w:hint="eastAsia"/>
          <w:kern w:val="0"/>
          <w:szCs w:val="24"/>
        </w:rPr>
        <w:t>本次发行的可转换公司债</w:t>
      </w:r>
      <w:proofErr w:type="gramStart"/>
      <w:r>
        <w:rPr>
          <w:rFonts w:ascii="Times New Roman" w:eastAsia="宋体" w:hAnsi="Times New Roman" w:cs="Times New Roman" w:hint="eastAsia"/>
          <w:kern w:val="0"/>
          <w:szCs w:val="24"/>
        </w:rPr>
        <w:t>券</w:t>
      </w:r>
      <w:proofErr w:type="gramEnd"/>
      <w:r>
        <w:rPr>
          <w:rFonts w:ascii="Times New Roman" w:eastAsia="宋体" w:hAnsi="Times New Roman" w:cs="Times New Roman" w:hint="eastAsia"/>
          <w:kern w:val="0"/>
          <w:szCs w:val="24"/>
        </w:rPr>
        <w:t>将向发行人原普通股股东优先配售，优先配售后余额部分（含原普通股股东放弃优先配售部分）采用网下对机构投资者配售和网上通过上海证券交易所交易系统向社会公众投资者发售的方式进行。</w:t>
      </w:r>
    </w:p>
    <w:p w14:paraId="4089E03F" w14:textId="3B9F9F68" w:rsidR="00595E4E" w:rsidRDefault="00595E4E" w:rsidP="00595E4E">
      <w:pPr>
        <w:widowControl w:val="0"/>
        <w:spacing w:after="0" w:line="360" w:lineRule="auto"/>
        <w:ind w:left="0" w:firstLineChars="200" w:firstLine="480"/>
        <w:jc w:val="both"/>
        <w:rPr>
          <w:rFonts w:ascii="Times New Roman" w:eastAsia="宋体" w:hAnsi="Times New Roman" w:cs="Times New Roman"/>
          <w:kern w:val="0"/>
          <w:szCs w:val="24"/>
        </w:rPr>
      </w:pPr>
      <w:r>
        <w:rPr>
          <w:rFonts w:ascii="Times New Roman" w:eastAsia="宋体" w:hAnsi="Times New Roman" w:cs="Times New Roman" w:hint="eastAsia"/>
          <w:kern w:val="0"/>
          <w:szCs w:val="24"/>
        </w:rPr>
        <w:t>本次发行的募集说明书摘要和发行公告已刊登于</w:t>
      </w:r>
      <w:r>
        <w:rPr>
          <w:rFonts w:ascii="Times New Roman" w:eastAsia="宋体" w:hAnsi="Times New Roman" w:cs="Times New Roman"/>
          <w:kern w:val="0"/>
          <w:szCs w:val="24"/>
        </w:rPr>
        <w:t>20</w:t>
      </w:r>
      <w:r>
        <w:rPr>
          <w:rFonts w:ascii="Times New Roman" w:eastAsia="宋体" w:hAnsi="Times New Roman" w:cs="Times New Roman" w:hint="eastAsia"/>
          <w:kern w:val="0"/>
          <w:szCs w:val="24"/>
        </w:rPr>
        <w:t>21</w:t>
      </w:r>
      <w:r>
        <w:rPr>
          <w:rFonts w:ascii="Times New Roman" w:eastAsia="宋体" w:hAnsi="Times New Roman" w:cs="Times New Roman" w:hint="eastAsia"/>
          <w:kern w:val="0"/>
          <w:szCs w:val="24"/>
        </w:rPr>
        <w:t>年</w:t>
      </w:r>
      <w:r w:rsidR="00003FCB">
        <w:rPr>
          <w:rFonts w:ascii="Times New Roman" w:eastAsia="宋体" w:hAnsi="Times New Roman" w:cs="Times New Roman" w:hint="eastAsia"/>
          <w:kern w:val="0"/>
          <w:szCs w:val="24"/>
        </w:rPr>
        <w:t>1</w:t>
      </w:r>
      <w:r w:rsidR="00003FCB">
        <w:rPr>
          <w:rFonts w:ascii="Times New Roman" w:eastAsia="宋体" w:hAnsi="Times New Roman" w:cs="Times New Roman"/>
          <w:kern w:val="0"/>
          <w:szCs w:val="24"/>
        </w:rPr>
        <w:t>2</w:t>
      </w:r>
      <w:r>
        <w:rPr>
          <w:rFonts w:ascii="Times New Roman" w:eastAsia="宋体" w:hAnsi="Times New Roman" w:cs="Times New Roman" w:hint="eastAsia"/>
          <w:kern w:val="0"/>
          <w:szCs w:val="24"/>
        </w:rPr>
        <w:t>月</w:t>
      </w:r>
      <w:r w:rsidR="00003FCB">
        <w:rPr>
          <w:rFonts w:ascii="Times New Roman" w:eastAsia="宋体" w:hAnsi="Times New Roman" w:cs="Times New Roman" w:hint="eastAsia"/>
          <w:kern w:val="0"/>
          <w:szCs w:val="24"/>
        </w:rPr>
        <w:t>2</w:t>
      </w:r>
      <w:r w:rsidR="00003FCB">
        <w:rPr>
          <w:rFonts w:ascii="Times New Roman" w:eastAsia="宋体" w:hAnsi="Times New Roman" w:cs="Times New Roman"/>
          <w:kern w:val="0"/>
          <w:szCs w:val="24"/>
        </w:rPr>
        <w:t>3</w:t>
      </w:r>
      <w:r>
        <w:rPr>
          <w:rFonts w:ascii="Times New Roman" w:eastAsia="宋体" w:hAnsi="Times New Roman" w:cs="Times New Roman" w:hint="eastAsia"/>
          <w:kern w:val="0"/>
          <w:szCs w:val="24"/>
        </w:rPr>
        <w:t>日的</w:t>
      </w:r>
      <w:r w:rsidR="00392A69">
        <w:rPr>
          <w:rFonts w:ascii="Times New Roman" w:eastAsia="宋体" w:hAnsi="Times New Roman" w:cs="Times New Roman" w:hint="eastAsia"/>
          <w:kern w:val="0"/>
          <w:szCs w:val="24"/>
        </w:rPr>
        <w:t>《上海证券报》和《中国证券报》</w:t>
      </w:r>
      <w:r w:rsidR="00C5285D">
        <w:rPr>
          <w:rFonts w:ascii="Times New Roman" w:eastAsia="宋体" w:hAnsi="Times New Roman" w:cs="Times New Roman" w:hint="eastAsia"/>
          <w:kern w:val="0"/>
          <w:szCs w:val="24"/>
        </w:rPr>
        <w:t>上</w:t>
      </w:r>
      <w:r>
        <w:rPr>
          <w:rFonts w:ascii="Times New Roman" w:eastAsia="宋体" w:hAnsi="Times New Roman" w:cs="Times New Roman" w:hint="eastAsia"/>
          <w:kern w:val="0"/>
          <w:szCs w:val="24"/>
        </w:rPr>
        <w:t>，募集说明书全文及相关资料可在上海证券交易所网站（</w:t>
      </w:r>
      <w:r>
        <w:rPr>
          <w:rFonts w:ascii="Times New Roman" w:eastAsia="宋体" w:hAnsi="Times New Roman" w:cs="Times New Roman"/>
          <w:kern w:val="0"/>
          <w:szCs w:val="24"/>
        </w:rPr>
        <w:t>http://www.sse.com.cn</w:t>
      </w:r>
      <w:r>
        <w:rPr>
          <w:rFonts w:ascii="Times New Roman" w:eastAsia="宋体" w:hAnsi="Times New Roman" w:cs="Times New Roman"/>
          <w:kern w:val="0"/>
          <w:szCs w:val="24"/>
        </w:rPr>
        <w:t>）</w:t>
      </w:r>
      <w:r>
        <w:rPr>
          <w:rFonts w:ascii="Times New Roman" w:eastAsia="宋体" w:hAnsi="Times New Roman" w:cs="Times New Roman" w:hint="eastAsia"/>
          <w:kern w:val="0"/>
          <w:szCs w:val="24"/>
        </w:rPr>
        <w:t>查询。</w:t>
      </w:r>
    </w:p>
    <w:p w14:paraId="046CA02A" w14:textId="77777777" w:rsidR="00595E4E" w:rsidRDefault="00595E4E" w:rsidP="00595E4E">
      <w:pPr>
        <w:widowControl w:val="0"/>
        <w:spacing w:after="0" w:line="360" w:lineRule="auto"/>
        <w:ind w:left="0" w:firstLineChars="200" w:firstLine="480"/>
        <w:jc w:val="both"/>
        <w:rPr>
          <w:rFonts w:ascii="Times New Roman" w:eastAsia="宋体" w:hAnsi="Times New Roman" w:cs="Times New Roman"/>
          <w:kern w:val="0"/>
          <w:szCs w:val="24"/>
        </w:rPr>
      </w:pPr>
      <w:r>
        <w:rPr>
          <w:rFonts w:ascii="Times New Roman" w:eastAsia="宋体" w:hAnsi="Times New Roman" w:cs="Times New Roman" w:hint="eastAsia"/>
          <w:kern w:val="0"/>
          <w:szCs w:val="24"/>
        </w:rPr>
        <w:t>为便于投资者了解公司本次发行的有关情况和相关安排，公司和</w:t>
      </w:r>
      <w:proofErr w:type="gramStart"/>
      <w:r>
        <w:rPr>
          <w:rFonts w:ascii="Times New Roman" w:eastAsia="宋体" w:hAnsi="Times New Roman" w:cs="Times New Roman" w:hint="eastAsia"/>
          <w:kern w:val="0"/>
          <w:szCs w:val="24"/>
        </w:rPr>
        <w:t>联席主</w:t>
      </w:r>
      <w:proofErr w:type="gramEnd"/>
      <w:r>
        <w:rPr>
          <w:rFonts w:ascii="Times New Roman" w:eastAsia="宋体" w:hAnsi="Times New Roman" w:cs="Times New Roman" w:hint="eastAsia"/>
          <w:kern w:val="0"/>
          <w:szCs w:val="24"/>
        </w:rPr>
        <w:t>承销商将就本次发行举行</w:t>
      </w:r>
      <w:proofErr w:type="gramStart"/>
      <w:r>
        <w:rPr>
          <w:rFonts w:ascii="Times New Roman" w:eastAsia="宋体" w:hAnsi="Times New Roman" w:cs="Times New Roman" w:hint="eastAsia"/>
          <w:kern w:val="0"/>
          <w:szCs w:val="24"/>
        </w:rPr>
        <w:t>网上路</w:t>
      </w:r>
      <w:proofErr w:type="gramEnd"/>
      <w:r>
        <w:rPr>
          <w:rFonts w:ascii="Times New Roman" w:eastAsia="宋体" w:hAnsi="Times New Roman" w:cs="Times New Roman" w:hint="eastAsia"/>
          <w:kern w:val="0"/>
          <w:szCs w:val="24"/>
        </w:rPr>
        <w:t>演，敬请广大投资者关注。</w:t>
      </w:r>
    </w:p>
    <w:p w14:paraId="5649257A" w14:textId="1AAAFC64" w:rsidR="00595E4E" w:rsidRDefault="00595E4E" w:rsidP="00595E4E">
      <w:pPr>
        <w:widowControl w:val="0"/>
        <w:spacing w:after="0" w:line="360" w:lineRule="auto"/>
        <w:ind w:left="0" w:firstLineChars="200" w:firstLine="480"/>
        <w:jc w:val="both"/>
        <w:rPr>
          <w:rFonts w:ascii="Times New Roman" w:eastAsia="宋体" w:hAnsi="Times New Roman" w:cs="Times New Roman"/>
          <w:kern w:val="0"/>
          <w:szCs w:val="24"/>
        </w:rPr>
      </w:pPr>
      <w:r>
        <w:rPr>
          <w:rFonts w:ascii="Times New Roman" w:eastAsia="宋体" w:hAnsi="Times New Roman" w:cs="Times New Roman" w:hint="eastAsia"/>
          <w:kern w:val="0"/>
          <w:szCs w:val="24"/>
        </w:rPr>
        <w:t>一、</w:t>
      </w:r>
      <w:proofErr w:type="gramStart"/>
      <w:r>
        <w:rPr>
          <w:rFonts w:ascii="Times New Roman" w:eastAsia="宋体" w:hAnsi="Times New Roman" w:cs="Times New Roman" w:hint="eastAsia"/>
          <w:kern w:val="0"/>
          <w:szCs w:val="24"/>
        </w:rPr>
        <w:t>网上路</w:t>
      </w:r>
      <w:proofErr w:type="gramEnd"/>
      <w:r>
        <w:rPr>
          <w:rFonts w:ascii="Times New Roman" w:eastAsia="宋体" w:hAnsi="Times New Roman" w:cs="Times New Roman" w:hint="eastAsia"/>
          <w:kern w:val="0"/>
          <w:szCs w:val="24"/>
        </w:rPr>
        <w:t>演时间：</w:t>
      </w:r>
      <w:r>
        <w:rPr>
          <w:rFonts w:ascii="Times New Roman" w:eastAsia="宋体" w:hAnsi="Times New Roman" w:cs="Times New Roman"/>
          <w:kern w:val="0"/>
          <w:szCs w:val="24"/>
        </w:rPr>
        <w:t>20</w:t>
      </w:r>
      <w:r>
        <w:rPr>
          <w:rFonts w:ascii="Times New Roman" w:eastAsia="宋体" w:hAnsi="Times New Roman" w:cs="Times New Roman" w:hint="eastAsia"/>
          <w:kern w:val="0"/>
          <w:szCs w:val="24"/>
        </w:rPr>
        <w:t>21</w:t>
      </w:r>
      <w:r>
        <w:rPr>
          <w:rFonts w:ascii="Times New Roman" w:eastAsia="宋体" w:hAnsi="Times New Roman" w:cs="Times New Roman" w:hint="eastAsia"/>
          <w:kern w:val="0"/>
          <w:szCs w:val="24"/>
        </w:rPr>
        <w:t>年</w:t>
      </w:r>
      <w:r w:rsidR="00003FCB">
        <w:rPr>
          <w:rFonts w:ascii="Times New Roman" w:eastAsia="宋体" w:hAnsi="Times New Roman" w:cs="Times New Roman" w:hint="eastAsia"/>
          <w:kern w:val="0"/>
          <w:szCs w:val="24"/>
        </w:rPr>
        <w:t>1</w:t>
      </w:r>
      <w:r w:rsidR="00003FCB">
        <w:rPr>
          <w:rFonts w:ascii="Times New Roman" w:eastAsia="宋体" w:hAnsi="Times New Roman" w:cs="Times New Roman"/>
          <w:kern w:val="0"/>
          <w:szCs w:val="24"/>
        </w:rPr>
        <w:t>2</w:t>
      </w:r>
      <w:r>
        <w:rPr>
          <w:rFonts w:ascii="Times New Roman" w:eastAsia="宋体" w:hAnsi="Times New Roman" w:cs="Times New Roman" w:hint="eastAsia"/>
          <w:kern w:val="0"/>
          <w:szCs w:val="24"/>
        </w:rPr>
        <w:t>月</w:t>
      </w:r>
      <w:r w:rsidR="00003FCB">
        <w:rPr>
          <w:rFonts w:ascii="Times New Roman" w:eastAsia="宋体" w:hAnsi="Times New Roman" w:cs="Times New Roman" w:hint="eastAsia"/>
          <w:kern w:val="0"/>
          <w:szCs w:val="24"/>
        </w:rPr>
        <w:t>2</w:t>
      </w:r>
      <w:r w:rsidR="00003FCB">
        <w:rPr>
          <w:rFonts w:ascii="Times New Roman" w:eastAsia="宋体" w:hAnsi="Times New Roman" w:cs="Times New Roman"/>
          <w:kern w:val="0"/>
          <w:szCs w:val="24"/>
        </w:rPr>
        <w:t>4</w:t>
      </w:r>
      <w:r>
        <w:rPr>
          <w:rFonts w:ascii="Times New Roman" w:eastAsia="宋体" w:hAnsi="Times New Roman" w:cs="Times New Roman" w:hint="eastAsia"/>
          <w:kern w:val="0"/>
          <w:szCs w:val="24"/>
        </w:rPr>
        <w:t>日（星期</w:t>
      </w:r>
      <w:r w:rsidR="00003FCB">
        <w:rPr>
          <w:rFonts w:ascii="Times New Roman" w:eastAsia="宋体" w:hAnsi="Times New Roman" w:cs="Times New Roman" w:hint="eastAsia"/>
          <w:kern w:val="0"/>
          <w:szCs w:val="24"/>
        </w:rPr>
        <w:t>五</w:t>
      </w:r>
      <w:r>
        <w:rPr>
          <w:rFonts w:ascii="Times New Roman" w:eastAsia="宋体" w:hAnsi="Times New Roman" w:cs="Times New Roman" w:hint="eastAsia"/>
          <w:kern w:val="0"/>
          <w:szCs w:val="24"/>
        </w:rPr>
        <w:t>）</w:t>
      </w:r>
      <w:r w:rsidR="00866C37">
        <w:rPr>
          <w:rFonts w:ascii="Times New Roman" w:eastAsia="宋体" w:hAnsi="Times New Roman" w:cs="Times New Roman" w:hint="eastAsia"/>
          <w:kern w:val="0"/>
          <w:szCs w:val="24"/>
        </w:rPr>
        <w:t>9</w:t>
      </w:r>
      <w:r w:rsidR="00844BC8">
        <w:rPr>
          <w:rFonts w:ascii="Times New Roman" w:eastAsia="宋体" w:hAnsi="Times New Roman" w:cs="Times New Roman"/>
          <w:kern w:val="0"/>
          <w:szCs w:val="24"/>
        </w:rPr>
        <w:t>:</w:t>
      </w:r>
      <w:r w:rsidR="00866C37">
        <w:rPr>
          <w:rFonts w:ascii="Times New Roman" w:eastAsia="宋体" w:hAnsi="Times New Roman" w:cs="Times New Roman" w:hint="eastAsia"/>
          <w:kern w:val="0"/>
          <w:szCs w:val="24"/>
        </w:rPr>
        <w:t>0</w:t>
      </w:r>
      <w:r w:rsidR="00866C37">
        <w:rPr>
          <w:rFonts w:ascii="Times New Roman" w:eastAsia="宋体" w:hAnsi="Times New Roman" w:cs="Times New Roman"/>
          <w:kern w:val="0"/>
          <w:szCs w:val="24"/>
        </w:rPr>
        <w:t>0</w:t>
      </w:r>
      <w:r>
        <w:rPr>
          <w:rFonts w:ascii="Times New Roman" w:eastAsia="宋体" w:hAnsi="Times New Roman" w:cs="Times New Roman"/>
          <w:kern w:val="0"/>
          <w:szCs w:val="24"/>
        </w:rPr>
        <w:t>－</w:t>
      </w:r>
      <w:r w:rsidR="00866C37">
        <w:rPr>
          <w:rFonts w:ascii="Times New Roman" w:eastAsia="宋体" w:hAnsi="Times New Roman" w:cs="Times New Roman" w:hint="eastAsia"/>
          <w:kern w:val="0"/>
          <w:szCs w:val="24"/>
        </w:rPr>
        <w:t>1</w:t>
      </w:r>
      <w:r w:rsidR="00866C37">
        <w:rPr>
          <w:rFonts w:ascii="Times New Roman" w:eastAsia="宋体" w:hAnsi="Times New Roman" w:cs="Times New Roman"/>
          <w:kern w:val="0"/>
          <w:szCs w:val="24"/>
        </w:rPr>
        <w:t>1</w:t>
      </w:r>
      <w:r w:rsidR="00844BC8">
        <w:rPr>
          <w:rFonts w:ascii="Times New Roman" w:eastAsia="宋体" w:hAnsi="Times New Roman" w:cs="Times New Roman"/>
          <w:kern w:val="0"/>
          <w:szCs w:val="24"/>
        </w:rPr>
        <w:t>:</w:t>
      </w:r>
      <w:r w:rsidR="00866C37">
        <w:rPr>
          <w:rFonts w:ascii="Times New Roman" w:eastAsia="宋体" w:hAnsi="Times New Roman" w:cs="Times New Roman" w:hint="eastAsia"/>
          <w:kern w:val="0"/>
          <w:szCs w:val="24"/>
        </w:rPr>
        <w:t>0</w:t>
      </w:r>
      <w:r w:rsidR="00866C37">
        <w:rPr>
          <w:rFonts w:ascii="Times New Roman" w:eastAsia="宋体" w:hAnsi="Times New Roman" w:cs="Times New Roman"/>
          <w:kern w:val="0"/>
          <w:szCs w:val="24"/>
        </w:rPr>
        <w:t>0</w:t>
      </w:r>
    </w:p>
    <w:p w14:paraId="4F2F9854" w14:textId="5A64C5CF" w:rsidR="00595E4E" w:rsidRDefault="00595E4E" w:rsidP="00595E4E">
      <w:pPr>
        <w:widowControl w:val="0"/>
        <w:spacing w:after="0" w:line="360" w:lineRule="auto"/>
        <w:ind w:left="0" w:firstLineChars="200" w:firstLine="480"/>
        <w:jc w:val="both"/>
        <w:rPr>
          <w:rFonts w:ascii="Times New Roman" w:eastAsia="宋体" w:hAnsi="Times New Roman" w:cs="Times New Roman"/>
          <w:kern w:val="0"/>
          <w:szCs w:val="24"/>
        </w:rPr>
      </w:pPr>
      <w:r>
        <w:rPr>
          <w:rFonts w:ascii="Times New Roman" w:eastAsia="宋体" w:hAnsi="Times New Roman" w:cs="Times New Roman" w:hint="eastAsia"/>
          <w:kern w:val="0"/>
          <w:szCs w:val="24"/>
        </w:rPr>
        <w:t>二、</w:t>
      </w:r>
      <w:proofErr w:type="gramStart"/>
      <w:r>
        <w:rPr>
          <w:rFonts w:ascii="Times New Roman" w:eastAsia="宋体" w:hAnsi="Times New Roman" w:cs="Times New Roman" w:hint="eastAsia"/>
          <w:kern w:val="0"/>
          <w:szCs w:val="24"/>
        </w:rPr>
        <w:t>网上路</w:t>
      </w:r>
      <w:proofErr w:type="gramEnd"/>
      <w:r>
        <w:rPr>
          <w:rFonts w:ascii="Times New Roman" w:eastAsia="宋体" w:hAnsi="Times New Roman" w:cs="Times New Roman" w:hint="eastAsia"/>
          <w:kern w:val="0"/>
          <w:szCs w:val="24"/>
        </w:rPr>
        <w:t>演网址：</w:t>
      </w:r>
      <w:r w:rsidR="00392A69">
        <w:rPr>
          <w:rFonts w:ascii="Times New Roman" w:eastAsia="宋体" w:hAnsi="Times New Roman" w:cs="Times New Roman" w:hint="eastAsia"/>
          <w:kern w:val="0"/>
          <w:szCs w:val="24"/>
        </w:rPr>
        <w:t>中国证券网</w:t>
      </w:r>
      <w:r w:rsidRPr="00282DCE">
        <w:rPr>
          <w:rFonts w:ascii="Times New Roman" w:eastAsia="宋体" w:hAnsi="Times New Roman" w:cs="Times New Roman" w:hint="eastAsia"/>
          <w:kern w:val="0"/>
          <w:szCs w:val="24"/>
        </w:rPr>
        <w:t>（</w:t>
      </w:r>
      <w:r w:rsidR="00392A69" w:rsidRPr="00392A69">
        <w:rPr>
          <w:rFonts w:ascii="Times New Roman" w:eastAsia="宋体" w:hAnsi="Times New Roman" w:cs="Times New Roman"/>
          <w:kern w:val="0"/>
          <w:szCs w:val="24"/>
        </w:rPr>
        <w:t>https://roadshow.cnstock.com/</w:t>
      </w:r>
      <w:r w:rsidRPr="00282DCE">
        <w:rPr>
          <w:rFonts w:ascii="Times New Roman" w:eastAsia="宋体" w:hAnsi="Times New Roman" w:cs="Times New Roman" w:hint="eastAsia"/>
          <w:kern w:val="0"/>
          <w:szCs w:val="24"/>
        </w:rPr>
        <w:t>）</w:t>
      </w:r>
    </w:p>
    <w:p w14:paraId="6FF3B4A4" w14:textId="0EABB2C1" w:rsidR="00595E4E" w:rsidRDefault="00595E4E" w:rsidP="00595E4E">
      <w:pPr>
        <w:widowControl w:val="0"/>
        <w:spacing w:after="0" w:line="360" w:lineRule="auto"/>
        <w:ind w:left="0" w:firstLineChars="200" w:firstLine="480"/>
        <w:jc w:val="both"/>
        <w:rPr>
          <w:rFonts w:ascii="Times New Roman" w:eastAsia="宋体" w:hAnsi="Times New Roman" w:cs="Times New Roman"/>
          <w:kern w:val="0"/>
          <w:szCs w:val="24"/>
        </w:rPr>
      </w:pPr>
      <w:r>
        <w:rPr>
          <w:rFonts w:ascii="Times New Roman" w:eastAsia="宋体" w:hAnsi="Times New Roman" w:cs="Times New Roman" w:hint="eastAsia"/>
          <w:kern w:val="0"/>
          <w:szCs w:val="24"/>
        </w:rPr>
        <w:t>三、参加人员：发行人管理层主要成员和联席</w:t>
      </w:r>
      <w:r w:rsidR="004B6DBD">
        <w:rPr>
          <w:rFonts w:ascii="Times New Roman" w:eastAsia="宋体" w:hAnsi="Times New Roman" w:cs="Times New Roman" w:hint="eastAsia"/>
          <w:kern w:val="0"/>
          <w:szCs w:val="24"/>
        </w:rPr>
        <w:t>保荐机构</w:t>
      </w:r>
      <w:r w:rsidR="00844BC8">
        <w:rPr>
          <w:rFonts w:ascii="Times New Roman" w:eastAsia="宋体" w:hAnsi="Times New Roman" w:cs="Times New Roman" w:hint="eastAsia"/>
          <w:kern w:val="0"/>
          <w:szCs w:val="24"/>
        </w:rPr>
        <w:t>（</w:t>
      </w:r>
      <w:proofErr w:type="gramStart"/>
      <w:r w:rsidR="00844BC8">
        <w:rPr>
          <w:rFonts w:ascii="Times New Roman" w:eastAsia="宋体" w:hAnsi="Times New Roman" w:cs="Times New Roman" w:hint="eastAsia"/>
          <w:kern w:val="0"/>
          <w:szCs w:val="24"/>
        </w:rPr>
        <w:t>联席主</w:t>
      </w:r>
      <w:proofErr w:type="gramEnd"/>
      <w:r w:rsidR="00844BC8">
        <w:rPr>
          <w:rFonts w:ascii="Times New Roman" w:eastAsia="宋体" w:hAnsi="Times New Roman" w:cs="Times New Roman" w:hint="eastAsia"/>
          <w:kern w:val="0"/>
          <w:szCs w:val="24"/>
        </w:rPr>
        <w:t>承销商）</w:t>
      </w:r>
      <w:r>
        <w:rPr>
          <w:rFonts w:ascii="Times New Roman" w:eastAsia="宋体" w:hAnsi="Times New Roman" w:cs="Times New Roman" w:hint="eastAsia"/>
          <w:kern w:val="0"/>
          <w:szCs w:val="24"/>
        </w:rPr>
        <w:t>相关人员。</w:t>
      </w:r>
    </w:p>
    <w:p w14:paraId="276FC18B" w14:textId="4C9117D0" w:rsidR="00595E4E" w:rsidRPr="00EF2AD0" w:rsidRDefault="00595E4E" w:rsidP="00EF2AD0">
      <w:pPr>
        <w:widowControl w:val="0"/>
        <w:spacing w:after="0" w:line="360" w:lineRule="auto"/>
        <w:ind w:left="0" w:firstLineChars="200" w:firstLine="480"/>
        <w:jc w:val="both"/>
        <w:rPr>
          <w:rFonts w:ascii="Times New Roman" w:eastAsia="宋体" w:hAnsi="Times New Roman" w:cs="Times New Roman"/>
          <w:kern w:val="0"/>
          <w:szCs w:val="24"/>
        </w:rPr>
      </w:pPr>
      <w:r>
        <w:rPr>
          <w:rFonts w:ascii="Times New Roman" w:eastAsia="宋体" w:hAnsi="Times New Roman" w:cs="Times New Roman" w:hint="eastAsia"/>
          <w:kern w:val="0"/>
          <w:szCs w:val="24"/>
        </w:rPr>
        <w:t>特此公告。</w:t>
      </w:r>
    </w:p>
    <w:p w14:paraId="0EDE095C" w14:textId="77777777" w:rsidR="008A4208" w:rsidRPr="008A4208" w:rsidRDefault="008A4208" w:rsidP="008A4208">
      <w:pPr>
        <w:widowControl w:val="0"/>
        <w:adjustRightInd w:val="0"/>
        <w:snapToGrid w:val="0"/>
        <w:spacing w:beforeLines="50" w:before="120" w:after="0" w:line="240" w:lineRule="auto"/>
        <w:ind w:left="0" w:firstLineChars="200" w:firstLine="480"/>
        <w:jc w:val="right"/>
        <w:rPr>
          <w:rFonts w:ascii="Times New Roman" w:eastAsia="宋体" w:hAnsi="Times New Roman" w:cs="Times New Roman"/>
          <w:szCs w:val="20"/>
        </w:rPr>
      </w:pPr>
      <w:r w:rsidRPr="008A4208">
        <w:rPr>
          <w:rFonts w:ascii="Times New Roman" w:eastAsia="宋体" w:hAnsi="Times New Roman" w:cs="Times New Roman" w:hint="eastAsia"/>
          <w:szCs w:val="20"/>
        </w:rPr>
        <w:t>发行人：兴业银行股份有限公司</w:t>
      </w:r>
    </w:p>
    <w:p w14:paraId="7719CC03" w14:textId="77777777" w:rsidR="008A4208" w:rsidRPr="008A4208" w:rsidRDefault="008A4208" w:rsidP="008A4208">
      <w:pPr>
        <w:widowControl w:val="0"/>
        <w:adjustRightInd w:val="0"/>
        <w:snapToGrid w:val="0"/>
        <w:spacing w:beforeLines="50" w:before="120" w:after="0" w:line="240" w:lineRule="auto"/>
        <w:ind w:left="0" w:firstLineChars="200" w:firstLine="480"/>
        <w:jc w:val="right"/>
        <w:rPr>
          <w:rFonts w:ascii="Times New Roman" w:eastAsia="宋体" w:hAnsi="Times New Roman" w:cs="Times New Roman"/>
          <w:szCs w:val="20"/>
        </w:rPr>
      </w:pPr>
      <w:r w:rsidRPr="008A4208">
        <w:rPr>
          <w:rFonts w:ascii="Times New Roman" w:eastAsia="宋体" w:hAnsi="Times New Roman" w:cs="Times New Roman" w:hint="eastAsia"/>
          <w:szCs w:val="20"/>
        </w:rPr>
        <w:t>联席保荐机构（</w:t>
      </w:r>
      <w:proofErr w:type="gramStart"/>
      <w:r w:rsidRPr="008A4208">
        <w:rPr>
          <w:rFonts w:ascii="Times New Roman" w:eastAsia="宋体" w:hAnsi="Times New Roman" w:cs="Times New Roman" w:hint="eastAsia"/>
          <w:szCs w:val="20"/>
        </w:rPr>
        <w:t>联席主</w:t>
      </w:r>
      <w:proofErr w:type="gramEnd"/>
      <w:r w:rsidRPr="008A4208">
        <w:rPr>
          <w:rFonts w:ascii="Times New Roman" w:eastAsia="宋体" w:hAnsi="Times New Roman" w:cs="Times New Roman" w:hint="eastAsia"/>
          <w:szCs w:val="20"/>
        </w:rPr>
        <w:t>承销商）：中</w:t>
      </w:r>
      <w:proofErr w:type="gramStart"/>
      <w:r w:rsidRPr="008A4208">
        <w:rPr>
          <w:rFonts w:ascii="Times New Roman" w:eastAsia="宋体" w:hAnsi="Times New Roman" w:cs="Times New Roman" w:hint="eastAsia"/>
          <w:szCs w:val="20"/>
        </w:rPr>
        <w:t>信建投证券</w:t>
      </w:r>
      <w:proofErr w:type="gramEnd"/>
      <w:r w:rsidRPr="008A4208">
        <w:rPr>
          <w:rFonts w:ascii="Times New Roman" w:eastAsia="宋体" w:hAnsi="Times New Roman" w:cs="Times New Roman" w:hint="eastAsia"/>
          <w:szCs w:val="20"/>
        </w:rPr>
        <w:t>股份有限公司</w:t>
      </w:r>
    </w:p>
    <w:p w14:paraId="33B48323" w14:textId="77777777" w:rsidR="008A4208" w:rsidRPr="008A4208" w:rsidRDefault="008A4208" w:rsidP="008A4208">
      <w:pPr>
        <w:widowControl w:val="0"/>
        <w:adjustRightInd w:val="0"/>
        <w:snapToGrid w:val="0"/>
        <w:spacing w:beforeLines="50" w:before="120" w:after="0" w:line="240" w:lineRule="auto"/>
        <w:ind w:left="0" w:firstLineChars="200" w:firstLine="480"/>
        <w:jc w:val="right"/>
        <w:rPr>
          <w:rFonts w:ascii="Times New Roman" w:eastAsia="宋体" w:hAnsi="Times New Roman" w:cs="Times New Roman"/>
          <w:szCs w:val="20"/>
        </w:rPr>
      </w:pPr>
      <w:r w:rsidRPr="008A4208">
        <w:rPr>
          <w:rFonts w:ascii="Times New Roman" w:eastAsia="宋体" w:hAnsi="Times New Roman" w:cs="Times New Roman" w:hint="eastAsia"/>
          <w:szCs w:val="20"/>
        </w:rPr>
        <w:t>联席保荐机构（</w:t>
      </w:r>
      <w:proofErr w:type="gramStart"/>
      <w:r w:rsidRPr="008A4208">
        <w:rPr>
          <w:rFonts w:ascii="Times New Roman" w:eastAsia="宋体" w:hAnsi="Times New Roman" w:cs="Times New Roman" w:hint="eastAsia"/>
          <w:szCs w:val="20"/>
        </w:rPr>
        <w:t>联席主</w:t>
      </w:r>
      <w:proofErr w:type="gramEnd"/>
      <w:r w:rsidRPr="008A4208">
        <w:rPr>
          <w:rFonts w:ascii="Times New Roman" w:eastAsia="宋体" w:hAnsi="Times New Roman" w:cs="Times New Roman" w:hint="eastAsia"/>
          <w:szCs w:val="20"/>
        </w:rPr>
        <w:t>承销商）：兴业证券股份有限公司</w:t>
      </w:r>
    </w:p>
    <w:p w14:paraId="2F179EEC" w14:textId="77777777" w:rsidR="008A4208" w:rsidRPr="008A4208" w:rsidRDefault="008A4208" w:rsidP="008A4208">
      <w:pPr>
        <w:widowControl w:val="0"/>
        <w:adjustRightInd w:val="0"/>
        <w:snapToGrid w:val="0"/>
        <w:spacing w:beforeLines="50" w:before="120" w:after="0" w:line="240" w:lineRule="auto"/>
        <w:ind w:left="0" w:firstLineChars="200" w:firstLine="480"/>
        <w:jc w:val="right"/>
        <w:rPr>
          <w:rFonts w:ascii="Times New Roman" w:eastAsia="宋体" w:hAnsi="Times New Roman" w:cs="Times New Roman"/>
          <w:szCs w:val="20"/>
        </w:rPr>
      </w:pPr>
      <w:proofErr w:type="gramStart"/>
      <w:r w:rsidRPr="008A4208">
        <w:rPr>
          <w:rFonts w:ascii="Times New Roman" w:eastAsia="宋体" w:hAnsi="Times New Roman" w:cs="Times New Roman" w:hint="eastAsia"/>
          <w:szCs w:val="20"/>
        </w:rPr>
        <w:t>联席主</w:t>
      </w:r>
      <w:proofErr w:type="gramEnd"/>
      <w:r w:rsidRPr="008A4208">
        <w:rPr>
          <w:rFonts w:ascii="Times New Roman" w:eastAsia="宋体" w:hAnsi="Times New Roman" w:cs="Times New Roman" w:hint="eastAsia"/>
          <w:szCs w:val="20"/>
        </w:rPr>
        <w:t>承销商：中信证券股份有限公司</w:t>
      </w:r>
    </w:p>
    <w:p w14:paraId="383888F8" w14:textId="77777777" w:rsidR="008A4208" w:rsidRPr="008A4208" w:rsidRDefault="008A4208" w:rsidP="008A4208">
      <w:pPr>
        <w:widowControl w:val="0"/>
        <w:adjustRightInd w:val="0"/>
        <w:snapToGrid w:val="0"/>
        <w:spacing w:beforeLines="50" w:before="120" w:after="0" w:line="240" w:lineRule="auto"/>
        <w:ind w:left="0" w:firstLineChars="200" w:firstLine="480"/>
        <w:jc w:val="right"/>
        <w:rPr>
          <w:rFonts w:ascii="Times New Roman" w:eastAsia="宋体" w:hAnsi="Times New Roman" w:cs="Times New Roman"/>
          <w:szCs w:val="20"/>
        </w:rPr>
      </w:pPr>
      <w:proofErr w:type="gramStart"/>
      <w:r w:rsidRPr="008A4208">
        <w:rPr>
          <w:rFonts w:ascii="Times New Roman" w:eastAsia="宋体" w:hAnsi="Times New Roman" w:cs="Times New Roman" w:hint="eastAsia"/>
          <w:szCs w:val="20"/>
        </w:rPr>
        <w:t>联席主</w:t>
      </w:r>
      <w:proofErr w:type="gramEnd"/>
      <w:r w:rsidRPr="008A4208">
        <w:rPr>
          <w:rFonts w:ascii="Times New Roman" w:eastAsia="宋体" w:hAnsi="Times New Roman" w:cs="Times New Roman" w:hint="eastAsia"/>
          <w:szCs w:val="20"/>
        </w:rPr>
        <w:t>承销商：华泰联合证券有限责任公司</w:t>
      </w:r>
    </w:p>
    <w:p w14:paraId="6BEB65A3" w14:textId="77777777" w:rsidR="008A4208" w:rsidRPr="008A4208" w:rsidRDefault="008A4208" w:rsidP="008A4208">
      <w:pPr>
        <w:widowControl w:val="0"/>
        <w:adjustRightInd w:val="0"/>
        <w:snapToGrid w:val="0"/>
        <w:spacing w:beforeLines="50" w:before="120" w:after="0" w:line="240" w:lineRule="auto"/>
        <w:ind w:left="0" w:firstLineChars="200" w:firstLine="480"/>
        <w:jc w:val="right"/>
        <w:rPr>
          <w:rFonts w:ascii="Times New Roman" w:eastAsia="宋体" w:hAnsi="Times New Roman" w:cs="Times New Roman"/>
          <w:szCs w:val="20"/>
        </w:rPr>
      </w:pPr>
      <w:proofErr w:type="gramStart"/>
      <w:r w:rsidRPr="008A4208">
        <w:rPr>
          <w:rFonts w:ascii="Times New Roman" w:eastAsia="宋体" w:hAnsi="Times New Roman" w:cs="Times New Roman" w:hint="eastAsia"/>
          <w:szCs w:val="20"/>
        </w:rPr>
        <w:t>联席主</w:t>
      </w:r>
      <w:proofErr w:type="gramEnd"/>
      <w:r w:rsidRPr="008A4208">
        <w:rPr>
          <w:rFonts w:ascii="Times New Roman" w:eastAsia="宋体" w:hAnsi="Times New Roman" w:cs="Times New Roman" w:hint="eastAsia"/>
          <w:szCs w:val="20"/>
        </w:rPr>
        <w:t>承销商：中国国际金融股份有限公司</w:t>
      </w:r>
    </w:p>
    <w:p w14:paraId="40A70C5C" w14:textId="77777777" w:rsidR="008A4208" w:rsidRPr="008A4208" w:rsidRDefault="008A4208" w:rsidP="008A4208">
      <w:pPr>
        <w:widowControl w:val="0"/>
        <w:adjustRightInd w:val="0"/>
        <w:snapToGrid w:val="0"/>
        <w:spacing w:beforeLines="50" w:before="120" w:after="0" w:line="240" w:lineRule="auto"/>
        <w:ind w:left="0" w:firstLineChars="200" w:firstLine="480"/>
        <w:jc w:val="right"/>
        <w:rPr>
          <w:rFonts w:ascii="Times New Roman" w:eastAsia="宋体" w:hAnsi="Times New Roman" w:cs="Times New Roman"/>
          <w:szCs w:val="20"/>
        </w:rPr>
      </w:pPr>
      <w:proofErr w:type="gramStart"/>
      <w:r w:rsidRPr="008A4208">
        <w:rPr>
          <w:rFonts w:ascii="Times New Roman" w:eastAsia="宋体" w:hAnsi="Times New Roman" w:cs="Times New Roman" w:hint="eastAsia"/>
          <w:szCs w:val="20"/>
        </w:rPr>
        <w:t>联席主</w:t>
      </w:r>
      <w:proofErr w:type="gramEnd"/>
      <w:r w:rsidRPr="008A4208">
        <w:rPr>
          <w:rFonts w:ascii="Times New Roman" w:eastAsia="宋体" w:hAnsi="Times New Roman" w:cs="Times New Roman" w:hint="eastAsia"/>
          <w:szCs w:val="20"/>
        </w:rPr>
        <w:t>承销商：中银国际证券股份有限公司</w:t>
      </w:r>
    </w:p>
    <w:p w14:paraId="6391FFDC" w14:textId="77777777" w:rsidR="008A4208" w:rsidRPr="008A4208" w:rsidRDefault="008A4208" w:rsidP="008A4208">
      <w:pPr>
        <w:widowControl w:val="0"/>
        <w:adjustRightInd w:val="0"/>
        <w:snapToGrid w:val="0"/>
        <w:spacing w:beforeLines="50" w:before="120" w:after="0" w:line="240" w:lineRule="auto"/>
        <w:ind w:left="0" w:firstLineChars="200" w:firstLine="480"/>
        <w:jc w:val="right"/>
        <w:rPr>
          <w:rFonts w:ascii="Times New Roman" w:eastAsia="宋体" w:hAnsi="Times New Roman" w:cs="Times New Roman"/>
          <w:szCs w:val="20"/>
        </w:rPr>
      </w:pPr>
      <w:proofErr w:type="gramStart"/>
      <w:r w:rsidRPr="008A4208">
        <w:rPr>
          <w:rFonts w:ascii="Times New Roman" w:eastAsia="宋体" w:hAnsi="Times New Roman" w:cs="Times New Roman" w:hint="eastAsia"/>
          <w:szCs w:val="20"/>
        </w:rPr>
        <w:t>联席主</w:t>
      </w:r>
      <w:proofErr w:type="gramEnd"/>
      <w:r w:rsidRPr="008A4208">
        <w:rPr>
          <w:rFonts w:ascii="Times New Roman" w:eastAsia="宋体" w:hAnsi="Times New Roman" w:cs="Times New Roman" w:hint="eastAsia"/>
          <w:szCs w:val="20"/>
        </w:rPr>
        <w:t>承销商：国泰君安证券股份有限公司</w:t>
      </w:r>
    </w:p>
    <w:p w14:paraId="73117DF9" w14:textId="77777777" w:rsidR="008A4208" w:rsidRPr="008A4208" w:rsidRDefault="008A4208" w:rsidP="008A4208">
      <w:pPr>
        <w:widowControl w:val="0"/>
        <w:adjustRightInd w:val="0"/>
        <w:snapToGrid w:val="0"/>
        <w:spacing w:beforeLines="50" w:before="120" w:after="0" w:line="240" w:lineRule="auto"/>
        <w:ind w:left="0" w:firstLineChars="200" w:firstLine="480"/>
        <w:jc w:val="right"/>
        <w:rPr>
          <w:rFonts w:ascii="Times New Roman" w:eastAsia="宋体" w:hAnsi="Times New Roman" w:cs="Times New Roman"/>
          <w:szCs w:val="20"/>
        </w:rPr>
      </w:pPr>
      <w:proofErr w:type="gramStart"/>
      <w:r w:rsidRPr="008A4208">
        <w:rPr>
          <w:rFonts w:ascii="Times New Roman" w:eastAsia="宋体" w:hAnsi="Times New Roman" w:cs="Times New Roman" w:hint="eastAsia"/>
          <w:szCs w:val="20"/>
        </w:rPr>
        <w:t>联席主</w:t>
      </w:r>
      <w:proofErr w:type="gramEnd"/>
      <w:r w:rsidRPr="008A4208">
        <w:rPr>
          <w:rFonts w:ascii="Times New Roman" w:eastAsia="宋体" w:hAnsi="Times New Roman" w:cs="Times New Roman" w:hint="eastAsia"/>
          <w:szCs w:val="20"/>
        </w:rPr>
        <w:t>承销商：华福证券有限责任公司</w:t>
      </w:r>
    </w:p>
    <w:p w14:paraId="4150D19B" w14:textId="011ABE9C" w:rsidR="00595E4E" w:rsidRPr="00A405EE" w:rsidRDefault="008A4208" w:rsidP="008A4208">
      <w:pPr>
        <w:widowControl w:val="0"/>
        <w:adjustRightInd w:val="0"/>
        <w:snapToGrid w:val="0"/>
        <w:spacing w:beforeLines="50" w:before="120" w:after="0" w:line="240" w:lineRule="auto"/>
        <w:ind w:left="0" w:firstLineChars="200" w:firstLine="480"/>
        <w:jc w:val="right"/>
        <w:rPr>
          <w:rFonts w:ascii="Times New Roman" w:eastAsia="宋体" w:hAnsi="Times New Roman" w:cs="Times New Roman"/>
          <w:bCs/>
          <w:szCs w:val="20"/>
        </w:rPr>
      </w:pPr>
      <w:proofErr w:type="gramStart"/>
      <w:r w:rsidRPr="008A4208">
        <w:rPr>
          <w:rFonts w:ascii="Times New Roman" w:eastAsia="宋体" w:hAnsi="Times New Roman" w:cs="Times New Roman" w:hint="eastAsia"/>
          <w:szCs w:val="20"/>
        </w:rPr>
        <w:t>联席主</w:t>
      </w:r>
      <w:proofErr w:type="gramEnd"/>
      <w:r w:rsidRPr="008A4208">
        <w:rPr>
          <w:rFonts w:ascii="Times New Roman" w:eastAsia="宋体" w:hAnsi="Times New Roman" w:cs="Times New Roman" w:hint="eastAsia"/>
          <w:szCs w:val="20"/>
        </w:rPr>
        <w:t>承销商：红</w:t>
      </w:r>
      <w:proofErr w:type="gramStart"/>
      <w:r w:rsidRPr="008A4208">
        <w:rPr>
          <w:rFonts w:ascii="Times New Roman" w:eastAsia="宋体" w:hAnsi="Times New Roman" w:cs="Times New Roman" w:hint="eastAsia"/>
          <w:szCs w:val="20"/>
        </w:rPr>
        <w:t>塔证券</w:t>
      </w:r>
      <w:proofErr w:type="gramEnd"/>
      <w:r w:rsidRPr="008A4208">
        <w:rPr>
          <w:rFonts w:ascii="Times New Roman" w:eastAsia="宋体" w:hAnsi="Times New Roman" w:cs="Times New Roman" w:hint="eastAsia"/>
          <w:szCs w:val="20"/>
        </w:rPr>
        <w:t>股份有限公司</w:t>
      </w:r>
    </w:p>
    <w:p w14:paraId="62D8EF65" w14:textId="148BAF9D" w:rsidR="00CF71B1" w:rsidRDefault="00595E4E" w:rsidP="00376C80">
      <w:pPr>
        <w:widowControl w:val="0"/>
        <w:adjustRightInd w:val="0"/>
        <w:snapToGrid w:val="0"/>
        <w:spacing w:beforeLines="50" w:before="120" w:after="0" w:line="240" w:lineRule="auto"/>
        <w:ind w:left="0" w:firstLineChars="200" w:firstLine="480"/>
        <w:jc w:val="right"/>
        <w:rPr>
          <w:rFonts w:ascii="宋体" w:eastAsia="宋体" w:hAnsi="宋体" w:cs="Times New Roman" w:hint="eastAsia"/>
          <w:color w:val="auto"/>
          <w:szCs w:val="24"/>
        </w:rPr>
      </w:pPr>
      <w:r w:rsidRPr="00A405EE">
        <w:rPr>
          <w:rFonts w:ascii="Times New Roman" w:eastAsia="宋体" w:hAnsi="Times New Roman" w:cs="Times New Roman"/>
          <w:szCs w:val="20"/>
        </w:rPr>
        <w:t>20</w:t>
      </w:r>
      <w:r w:rsidRPr="00A405EE">
        <w:rPr>
          <w:rFonts w:ascii="Times New Roman" w:eastAsia="宋体" w:hAnsi="Times New Roman" w:cs="Times New Roman" w:hint="eastAsia"/>
          <w:szCs w:val="20"/>
        </w:rPr>
        <w:t>2</w:t>
      </w:r>
      <w:r w:rsidRPr="00A405EE">
        <w:rPr>
          <w:rFonts w:ascii="Times New Roman" w:eastAsia="宋体" w:hAnsi="Times New Roman" w:cs="Times New Roman"/>
          <w:szCs w:val="20"/>
        </w:rPr>
        <w:t>1</w:t>
      </w:r>
      <w:r w:rsidRPr="00A405EE">
        <w:rPr>
          <w:rFonts w:ascii="Times New Roman" w:eastAsia="宋体" w:hAnsi="Times New Roman" w:cs="Times New Roman"/>
          <w:szCs w:val="20"/>
        </w:rPr>
        <w:t>年</w:t>
      </w:r>
      <w:r w:rsidR="00003FCB">
        <w:rPr>
          <w:rFonts w:ascii="Times New Roman" w:eastAsia="宋体" w:hAnsi="Times New Roman" w:cs="Times New Roman" w:hint="eastAsia"/>
          <w:szCs w:val="20"/>
        </w:rPr>
        <w:t>1</w:t>
      </w:r>
      <w:r w:rsidR="00003FCB">
        <w:rPr>
          <w:rFonts w:ascii="Times New Roman" w:eastAsia="宋体" w:hAnsi="Times New Roman" w:cs="Times New Roman"/>
          <w:szCs w:val="20"/>
        </w:rPr>
        <w:t>2</w:t>
      </w:r>
      <w:r w:rsidRPr="00A405EE">
        <w:rPr>
          <w:rFonts w:ascii="Times New Roman" w:eastAsia="宋体" w:hAnsi="Times New Roman" w:cs="Times New Roman"/>
          <w:szCs w:val="20"/>
        </w:rPr>
        <w:t>月</w:t>
      </w:r>
      <w:r w:rsidR="00003FCB">
        <w:rPr>
          <w:rFonts w:ascii="Times New Roman" w:eastAsia="宋体" w:hAnsi="Times New Roman" w:cs="Times New Roman" w:hint="eastAsia"/>
          <w:szCs w:val="20"/>
        </w:rPr>
        <w:t>2</w:t>
      </w:r>
      <w:r w:rsidR="00003FCB">
        <w:rPr>
          <w:rFonts w:ascii="Times New Roman" w:eastAsia="宋体" w:hAnsi="Times New Roman" w:cs="Times New Roman"/>
          <w:szCs w:val="20"/>
        </w:rPr>
        <w:t>3</w:t>
      </w:r>
      <w:r w:rsidRPr="00A405EE">
        <w:rPr>
          <w:rFonts w:ascii="Times New Roman" w:eastAsia="宋体" w:hAnsi="Times New Roman" w:cs="Times New Roman"/>
          <w:szCs w:val="20"/>
        </w:rPr>
        <w:t>日</w:t>
      </w:r>
    </w:p>
    <w:sectPr w:rsidR="00CF71B1">
      <w:footerReference w:type="default" r:id="rId7"/>
      <w:pgSz w:w="11906" w:h="16838"/>
      <w:pgMar w:top="1617" w:right="1678" w:bottom="2017"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98D40" w14:textId="77777777" w:rsidR="002340A7" w:rsidRDefault="002340A7">
      <w:pPr>
        <w:spacing w:after="0" w:line="240" w:lineRule="auto"/>
      </w:pPr>
      <w:r>
        <w:separator/>
      </w:r>
    </w:p>
  </w:endnote>
  <w:endnote w:type="continuationSeparator" w:id="0">
    <w:p w14:paraId="2233B93E" w14:textId="77777777" w:rsidR="002340A7" w:rsidRDefault="00234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Heiti SC Light">
    <w:altName w:val="Arial Unicode MS"/>
    <w:charset w:val="50"/>
    <w:family w:val="auto"/>
    <w:pitch w:val="default"/>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68F8" w14:textId="77777777" w:rsidR="00CF71B1" w:rsidRDefault="00CF71B1">
    <w:pPr>
      <w:pStyle w:val="ab"/>
      <w:jc w:val="center"/>
    </w:pPr>
  </w:p>
  <w:p w14:paraId="3E73C8F0" w14:textId="77777777" w:rsidR="00CF71B1" w:rsidRDefault="00CF71B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1FA91" w14:textId="77777777" w:rsidR="002340A7" w:rsidRDefault="002340A7">
      <w:pPr>
        <w:spacing w:after="0" w:line="240" w:lineRule="auto"/>
      </w:pPr>
      <w:r>
        <w:separator/>
      </w:r>
    </w:p>
  </w:footnote>
  <w:footnote w:type="continuationSeparator" w:id="0">
    <w:p w14:paraId="72F002AB" w14:textId="77777777" w:rsidR="002340A7" w:rsidRDefault="002340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160E"/>
    <w:rsid w:val="00001DA9"/>
    <w:rsid w:val="000029D7"/>
    <w:rsid w:val="00003FCB"/>
    <w:rsid w:val="00016FB4"/>
    <w:rsid w:val="0003074E"/>
    <w:rsid w:val="000623BF"/>
    <w:rsid w:val="00064410"/>
    <w:rsid w:val="0007768D"/>
    <w:rsid w:val="000902FD"/>
    <w:rsid w:val="00097CBB"/>
    <w:rsid w:val="000B296A"/>
    <w:rsid w:val="000C3168"/>
    <w:rsid w:val="000E119A"/>
    <w:rsid w:val="000E46D4"/>
    <w:rsid w:val="000F160E"/>
    <w:rsid w:val="000F7EBC"/>
    <w:rsid w:val="001245BF"/>
    <w:rsid w:val="00127608"/>
    <w:rsid w:val="00135148"/>
    <w:rsid w:val="00136C24"/>
    <w:rsid w:val="00142370"/>
    <w:rsid w:val="00153B7E"/>
    <w:rsid w:val="00162641"/>
    <w:rsid w:val="00167697"/>
    <w:rsid w:val="00191D5F"/>
    <w:rsid w:val="00192929"/>
    <w:rsid w:val="00194ABE"/>
    <w:rsid w:val="001C7861"/>
    <w:rsid w:val="001D0051"/>
    <w:rsid w:val="001E51AE"/>
    <w:rsid w:val="001F4096"/>
    <w:rsid w:val="0020577C"/>
    <w:rsid w:val="00206C2A"/>
    <w:rsid w:val="00220CAA"/>
    <w:rsid w:val="00223E3B"/>
    <w:rsid w:val="002340A7"/>
    <w:rsid w:val="00250C7E"/>
    <w:rsid w:val="00274D7D"/>
    <w:rsid w:val="00277089"/>
    <w:rsid w:val="0028115D"/>
    <w:rsid w:val="00287705"/>
    <w:rsid w:val="002B4D89"/>
    <w:rsid w:val="002C0928"/>
    <w:rsid w:val="002C360D"/>
    <w:rsid w:val="002D37B7"/>
    <w:rsid w:val="002E72EA"/>
    <w:rsid w:val="002F0E20"/>
    <w:rsid w:val="00300BF2"/>
    <w:rsid w:val="003021DD"/>
    <w:rsid w:val="00314769"/>
    <w:rsid w:val="0032213A"/>
    <w:rsid w:val="003324AD"/>
    <w:rsid w:val="00343784"/>
    <w:rsid w:val="003566BC"/>
    <w:rsid w:val="00361735"/>
    <w:rsid w:val="003668CE"/>
    <w:rsid w:val="00376C80"/>
    <w:rsid w:val="00392A69"/>
    <w:rsid w:val="003A373B"/>
    <w:rsid w:val="003A7DA7"/>
    <w:rsid w:val="003B5189"/>
    <w:rsid w:val="003C09C3"/>
    <w:rsid w:val="003F2F9D"/>
    <w:rsid w:val="003F31BA"/>
    <w:rsid w:val="0041156A"/>
    <w:rsid w:val="00423343"/>
    <w:rsid w:val="00427064"/>
    <w:rsid w:val="00430D79"/>
    <w:rsid w:val="00437992"/>
    <w:rsid w:val="00450747"/>
    <w:rsid w:val="00452E73"/>
    <w:rsid w:val="0045758A"/>
    <w:rsid w:val="0046005C"/>
    <w:rsid w:val="00466E1F"/>
    <w:rsid w:val="004672A5"/>
    <w:rsid w:val="004904FC"/>
    <w:rsid w:val="00496A87"/>
    <w:rsid w:val="004A2B32"/>
    <w:rsid w:val="004B5AE2"/>
    <w:rsid w:val="004B6DBD"/>
    <w:rsid w:val="004C5DB5"/>
    <w:rsid w:val="004D1B34"/>
    <w:rsid w:val="004D1FDD"/>
    <w:rsid w:val="004E0274"/>
    <w:rsid w:val="004E2646"/>
    <w:rsid w:val="004E4E6C"/>
    <w:rsid w:val="004E52F6"/>
    <w:rsid w:val="004F73A9"/>
    <w:rsid w:val="005453ED"/>
    <w:rsid w:val="0054640E"/>
    <w:rsid w:val="00560F92"/>
    <w:rsid w:val="00582067"/>
    <w:rsid w:val="00585880"/>
    <w:rsid w:val="0058742B"/>
    <w:rsid w:val="00595E4E"/>
    <w:rsid w:val="005A05D9"/>
    <w:rsid w:val="005A611A"/>
    <w:rsid w:val="005B3C3A"/>
    <w:rsid w:val="005E300F"/>
    <w:rsid w:val="005E7E7C"/>
    <w:rsid w:val="00604127"/>
    <w:rsid w:val="00604571"/>
    <w:rsid w:val="00610A10"/>
    <w:rsid w:val="0062399F"/>
    <w:rsid w:val="006304AE"/>
    <w:rsid w:val="006316DF"/>
    <w:rsid w:val="00644559"/>
    <w:rsid w:val="0065322A"/>
    <w:rsid w:val="0065493F"/>
    <w:rsid w:val="00666B49"/>
    <w:rsid w:val="00670C52"/>
    <w:rsid w:val="0067372B"/>
    <w:rsid w:val="006A0036"/>
    <w:rsid w:val="006D07EE"/>
    <w:rsid w:val="006D5F3B"/>
    <w:rsid w:val="006F6284"/>
    <w:rsid w:val="007000E6"/>
    <w:rsid w:val="0070100B"/>
    <w:rsid w:val="00705C2B"/>
    <w:rsid w:val="007130C8"/>
    <w:rsid w:val="0073177C"/>
    <w:rsid w:val="00735049"/>
    <w:rsid w:val="00735247"/>
    <w:rsid w:val="00743D40"/>
    <w:rsid w:val="00763FD8"/>
    <w:rsid w:val="007862F4"/>
    <w:rsid w:val="007964AA"/>
    <w:rsid w:val="007A77B8"/>
    <w:rsid w:val="007B5F39"/>
    <w:rsid w:val="007C057B"/>
    <w:rsid w:val="007C14E5"/>
    <w:rsid w:val="007C2DDF"/>
    <w:rsid w:val="007C4B1F"/>
    <w:rsid w:val="007D17FB"/>
    <w:rsid w:val="007E6651"/>
    <w:rsid w:val="0081618C"/>
    <w:rsid w:val="00826C8E"/>
    <w:rsid w:val="008330D6"/>
    <w:rsid w:val="00844BC8"/>
    <w:rsid w:val="008515CE"/>
    <w:rsid w:val="00860E9D"/>
    <w:rsid w:val="00862796"/>
    <w:rsid w:val="00866C37"/>
    <w:rsid w:val="00870706"/>
    <w:rsid w:val="008907C4"/>
    <w:rsid w:val="008A1964"/>
    <w:rsid w:val="008A4208"/>
    <w:rsid w:val="008C1837"/>
    <w:rsid w:val="008C6EF9"/>
    <w:rsid w:val="008D2A29"/>
    <w:rsid w:val="008F1708"/>
    <w:rsid w:val="00917FBF"/>
    <w:rsid w:val="009302F7"/>
    <w:rsid w:val="00930A8B"/>
    <w:rsid w:val="00942A40"/>
    <w:rsid w:val="009442CB"/>
    <w:rsid w:val="00945144"/>
    <w:rsid w:val="00963048"/>
    <w:rsid w:val="00963C83"/>
    <w:rsid w:val="00964C80"/>
    <w:rsid w:val="00966F89"/>
    <w:rsid w:val="00971625"/>
    <w:rsid w:val="00972D43"/>
    <w:rsid w:val="00982E81"/>
    <w:rsid w:val="009C4DC8"/>
    <w:rsid w:val="009D1B61"/>
    <w:rsid w:val="009D3E1C"/>
    <w:rsid w:val="009F08F4"/>
    <w:rsid w:val="00A0469E"/>
    <w:rsid w:val="00A12790"/>
    <w:rsid w:val="00A23F69"/>
    <w:rsid w:val="00A405EE"/>
    <w:rsid w:val="00A42CA5"/>
    <w:rsid w:val="00A55B71"/>
    <w:rsid w:val="00A62D14"/>
    <w:rsid w:val="00A754DA"/>
    <w:rsid w:val="00A7573E"/>
    <w:rsid w:val="00A7650B"/>
    <w:rsid w:val="00A80ED9"/>
    <w:rsid w:val="00A93204"/>
    <w:rsid w:val="00A935CA"/>
    <w:rsid w:val="00AB15C8"/>
    <w:rsid w:val="00AB57D8"/>
    <w:rsid w:val="00AC061B"/>
    <w:rsid w:val="00AC7D70"/>
    <w:rsid w:val="00B26F32"/>
    <w:rsid w:val="00B324AA"/>
    <w:rsid w:val="00B5136B"/>
    <w:rsid w:val="00B51C9E"/>
    <w:rsid w:val="00B51EA8"/>
    <w:rsid w:val="00B55FC6"/>
    <w:rsid w:val="00B60AAE"/>
    <w:rsid w:val="00B61805"/>
    <w:rsid w:val="00B74A11"/>
    <w:rsid w:val="00BA6AD0"/>
    <w:rsid w:val="00BB0141"/>
    <w:rsid w:val="00BB0E18"/>
    <w:rsid w:val="00BB2CAF"/>
    <w:rsid w:val="00BB3F71"/>
    <w:rsid w:val="00BD25E1"/>
    <w:rsid w:val="00BD62F1"/>
    <w:rsid w:val="00BE7851"/>
    <w:rsid w:val="00C05C09"/>
    <w:rsid w:val="00C06DF0"/>
    <w:rsid w:val="00C15496"/>
    <w:rsid w:val="00C269B7"/>
    <w:rsid w:val="00C3672B"/>
    <w:rsid w:val="00C36B10"/>
    <w:rsid w:val="00C36BDC"/>
    <w:rsid w:val="00C36DF9"/>
    <w:rsid w:val="00C37505"/>
    <w:rsid w:val="00C44CB5"/>
    <w:rsid w:val="00C5285D"/>
    <w:rsid w:val="00C5601E"/>
    <w:rsid w:val="00C60D4B"/>
    <w:rsid w:val="00C7594D"/>
    <w:rsid w:val="00CA055D"/>
    <w:rsid w:val="00CA160D"/>
    <w:rsid w:val="00CA34E4"/>
    <w:rsid w:val="00CA3F73"/>
    <w:rsid w:val="00CB51B3"/>
    <w:rsid w:val="00CB761D"/>
    <w:rsid w:val="00CD563C"/>
    <w:rsid w:val="00CF1FC5"/>
    <w:rsid w:val="00CF71B1"/>
    <w:rsid w:val="00D01728"/>
    <w:rsid w:val="00D041CC"/>
    <w:rsid w:val="00D04D12"/>
    <w:rsid w:val="00D25075"/>
    <w:rsid w:val="00D51082"/>
    <w:rsid w:val="00D81EB3"/>
    <w:rsid w:val="00D82917"/>
    <w:rsid w:val="00D87416"/>
    <w:rsid w:val="00D93C6A"/>
    <w:rsid w:val="00D94917"/>
    <w:rsid w:val="00D95C0A"/>
    <w:rsid w:val="00DA2D84"/>
    <w:rsid w:val="00DA3363"/>
    <w:rsid w:val="00DB05CC"/>
    <w:rsid w:val="00DC13AE"/>
    <w:rsid w:val="00DC6F73"/>
    <w:rsid w:val="00DD1F21"/>
    <w:rsid w:val="00DD29DB"/>
    <w:rsid w:val="00DF398B"/>
    <w:rsid w:val="00DF56A2"/>
    <w:rsid w:val="00E06520"/>
    <w:rsid w:val="00E22BD6"/>
    <w:rsid w:val="00E27624"/>
    <w:rsid w:val="00E52DB0"/>
    <w:rsid w:val="00E56144"/>
    <w:rsid w:val="00E57B61"/>
    <w:rsid w:val="00E67C4D"/>
    <w:rsid w:val="00E809BD"/>
    <w:rsid w:val="00E81ECB"/>
    <w:rsid w:val="00E844C9"/>
    <w:rsid w:val="00EA690E"/>
    <w:rsid w:val="00EC0B33"/>
    <w:rsid w:val="00EC0D73"/>
    <w:rsid w:val="00ED3C36"/>
    <w:rsid w:val="00EE422C"/>
    <w:rsid w:val="00EF2AD0"/>
    <w:rsid w:val="00EF3691"/>
    <w:rsid w:val="00F0063F"/>
    <w:rsid w:val="00F01965"/>
    <w:rsid w:val="00F30B17"/>
    <w:rsid w:val="00F3186B"/>
    <w:rsid w:val="00F31FBA"/>
    <w:rsid w:val="00F32ABF"/>
    <w:rsid w:val="00F448AB"/>
    <w:rsid w:val="00F5398A"/>
    <w:rsid w:val="00F55322"/>
    <w:rsid w:val="00F557E5"/>
    <w:rsid w:val="00F64EE7"/>
    <w:rsid w:val="00F722E8"/>
    <w:rsid w:val="00F74BDE"/>
    <w:rsid w:val="00F847A7"/>
    <w:rsid w:val="00FB0C0E"/>
    <w:rsid w:val="00FB406F"/>
    <w:rsid w:val="00FD04F4"/>
    <w:rsid w:val="00FF25A2"/>
    <w:rsid w:val="11230396"/>
    <w:rsid w:val="307E15D4"/>
    <w:rsid w:val="36441341"/>
    <w:rsid w:val="6CA34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082C2F02"/>
  <w15:docId w15:val="{8F3CAC5C-90CA-48E1-99E3-4D1F0755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 w:line="265" w:lineRule="auto"/>
      <w:ind w:left="10" w:hanging="10"/>
    </w:pPr>
    <w:rPr>
      <w:rFonts w:ascii="微软雅黑" w:eastAsia="微软雅黑" w:hAnsi="微软雅黑" w:cs="微软雅黑"/>
      <w:color w:val="000000"/>
      <w:kern w:val="2"/>
      <w:sz w:val="24"/>
      <w:szCs w:val="22"/>
    </w:rPr>
  </w:style>
  <w:style w:type="paragraph" w:styleId="1">
    <w:name w:val="heading 1"/>
    <w:basedOn w:val="a"/>
    <w:next w:val="a"/>
    <w:link w:val="10"/>
    <w:uiPriority w:val="99"/>
    <w:qFormat/>
    <w:pPr>
      <w:keepNext/>
      <w:keepLines/>
      <w:spacing w:after="176"/>
      <w:ind w:right="124"/>
      <w:jc w:val="center"/>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qFormat/>
    <w:rPr>
      <w:rFonts w:ascii="Heiti SC Light" w:eastAsia="Times New Roman"/>
      <w:szCs w:val="24"/>
    </w:rPr>
  </w:style>
  <w:style w:type="paragraph" w:styleId="a5">
    <w:name w:val="annotation text"/>
    <w:basedOn w:val="a"/>
    <w:link w:val="a6"/>
    <w:uiPriority w:val="99"/>
    <w:semiHidden/>
    <w:unhideWhenUsed/>
  </w:style>
  <w:style w:type="paragraph" w:styleId="a7">
    <w:name w:val="Date"/>
    <w:basedOn w:val="a"/>
    <w:next w:val="a"/>
    <w:link w:val="a8"/>
    <w:uiPriority w:val="99"/>
    <w:qFormat/>
    <w:pPr>
      <w:ind w:leftChars="2500" w:left="100"/>
    </w:pPr>
    <w:rPr>
      <w:rFonts w:ascii="Times New Roman" w:eastAsia="宋体" w:hAnsi="Times New Roman" w:cs="Times New Roman"/>
    </w:rPr>
  </w:style>
  <w:style w:type="paragraph" w:styleId="a9">
    <w:name w:val="Balloon Text"/>
    <w:basedOn w:val="a"/>
    <w:link w:val="aa"/>
    <w:uiPriority w:val="99"/>
    <w:semiHidden/>
    <w:qFormat/>
    <w:pPr>
      <w:spacing w:after="0" w:line="240" w:lineRule="auto"/>
    </w:pPr>
    <w:rPr>
      <w:sz w:val="18"/>
      <w:szCs w:val="18"/>
    </w:rPr>
  </w:style>
  <w:style w:type="paragraph" w:styleId="ab">
    <w:name w:val="footer"/>
    <w:basedOn w:val="a"/>
    <w:link w:val="ac"/>
    <w:uiPriority w:val="99"/>
    <w:qFormat/>
    <w:pPr>
      <w:widowControl w:val="0"/>
      <w:tabs>
        <w:tab w:val="center" w:pos="4153"/>
        <w:tab w:val="right" w:pos="8306"/>
      </w:tabs>
      <w:snapToGrid w:val="0"/>
      <w:spacing w:after="0" w:line="240" w:lineRule="auto"/>
      <w:ind w:left="0" w:firstLine="0"/>
    </w:pPr>
    <w:rPr>
      <w:rFonts w:ascii="Calibri" w:eastAsia="宋体" w:hAnsi="Calibri" w:cs="Times New Roman"/>
      <w:color w:val="auto"/>
      <w:sz w:val="18"/>
      <w:szCs w:val="18"/>
    </w:rPr>
  </w:style>
  <w:style w:type="paragraph" w:styleId="ad">
    <w:name w:val="header"/>
    <w:basedOn w:val="a"/>
    <w:link w:val="ae"/>
    <w:uiPriority w:val="99"/>
    <w:qFormat/>
    <w:pPr>
      <w:widowControl w:val="0"/>
      <w:pBdr>
        <w:bottom w:val="single" w:sz="6" w:space="1" w:color="auto"/>
      </w:pBdr>
      <w:tabs>
        <w:tab w:val="center" w:pos="4153"/>
        <w:tab w:val="right" w:pos="8306"/>
      </w:tabs>
      <w:snapToGrid w:val="0"/>
      <w:spacing w:after="0" w:line="240" w:lineRule="auto"/>
      <w:ind w:left="0" w:firstLine="0"/>
      <w:jc w:val="center"/>
    </w:pPr>
    <w:rPr>
      <w:rFonts w:ascii="Calibri" w:eastAsia="宋体" w:hAnsi="Calibri" w:cs="Times New Roman"/>
      <w:color w:val="auto"/>
      <w:sz w:val="18"/>
      <w:szCs w:val="18"/>
    </w:rPr>
  </w:style>
  <w:style w:type="paragraph" w:styleId="af">
    <w:name w:val="annotation subject"/>
    <w:basedOn w:val="a5"/>
    <w:next w:val="a5"/>
    <w:link w:val="af0"/>
    <w:uiPriority w:val="99"/>
    <w:semiHidden/>
    <w:unhideWhenUsed/>
    <w:qFormat/>
    <w:rPr>
      <w:b/>
      <w:bCs/>
    </w:rPr>
  </w:style>
  <w:style w:type="character" w:styleId="af1">
    <w:name w:val="Hyperlink"/>
    <w:uiPriority w:val="99"/>
    <w:unhideWhenUsed/>
    <w:qFormat/>
    <w:rPr>
      <w:color w:val="0000FF"/>
      <w:u w:val="single"/>
    </w:rPr>
  </w:style>
  <w:style w:type="character" w:styleId="af2">
    <w:name w:val="annotation reference"/>
    <w:uiPriority w:val="99"/>
    <w:semiHidden/>
    <w:unhideWhenUsed/>
    <w:qFormat/>
    <w:rPr>
      <w:sz w:val="21"/>
      <w:szCs w:val="21"/>
    </w:rPr>
  </w:style>
  <w:style w:type="character" w:customStyle="1" w:styleId="10">
    <w:name w:val="标题 1 字符"/>
    <w:link w:val="1"/>
    <w:uiPriority w:val="99"/>
    <w:qFormat/>
    <w:locked/>
    <w:rPr>
      <w:rFonts w:ascii="微软雅黑" w:eastAsia="微软雅黑" w:hAnsi="微软雅黑" w:cs="微软雅黑"/>
      <w:color w:val="000000"/>
      <w:kern w:val="2"/>
      <w:sz w:val="22"/>
      <w:szCs w:val="22"/>
      <w:lang w:val="en-US" w:eastAsia="zh-CN" w:bidi="ar-SA"/>
    </w:rPr>
  </w:style>
  <w:style w:type="character" w:customStyle="1" w:styleId="ae">
    <w:name w:val="页眉 字符"/>
    <w:link w:val="ad"/>
    <w:uiPriority w:val="99"/>
    <w:qFormat/>
    <w:locked/>
    <w:rPr>
      <w:rFonts w:cs="Times New Roman"/>
      <w:sz w:val="18"/>
      <w:szCs w:val="18"/>
    </w:rPr>
  </w:style>
  <w:style w:type="character" w:customStyle="1" w:styleId="ac">
    <w:name w:val="页脚 字符"/>
    <w:link w:val="ab"/>
    <w:uiPriority w:val="99"/>
    <w:qFormat/>
    <w:locked/>
    <w:rPr>
      <w:rFonts w:cs="Times New Roman"/>
      <w:sz w:val="18"/>
      <w:szCs w:val="18"/>
    </w:rPr>
  </w:style>
  <w:style w:type="character" w:customStyle="1" w:styleId="a4">
    <w:name w:val="文档结构图 字符"/>
    <w:link w:val="a3"/>
    <w:uiPriority w:val="99"/>
    <w:semiHidden/>
    <w:qFormat/>
    <w:locked/>
    <w:rPr>
      <w:rFonts w:ascii="Heiti SC Light" w:eastAsia="Times New Roman" w:hAnsi="微软雅黑" w:cs="微软雅黑"/>
      <w:color w:val="000000"/>
      <w:sz w:val="24"/>
      <w:szCs w:val="24"/>
    </w:rPr>
  </w:style>
  <w:style w:type="character" w:customStyle="1" w:styleId="a8">
    <w:name w:val="日期 字符"/>
    <w:link w:val="a7"/>
    <w:uiPriority w:val="99"/>
    <w:locked/>
    <w:rPr>
      <w:rFonts w:ascii="Times New Roman" w:hAnsi="Times New Roman" w:cs="Times New Roman"/>
      <w:color w:val="000000"/>
      <w:sz w:val="24"/>
    </w:rPr>
  </w:style>
  <w:style w:type="character" w:customStyle="1" w:styleId="aa">
    <w:name w:val="批注框文本 字符"/>
    <w:link w:val="a9"/>
    <w:uiPriority w:val="99"/>
    <w:semiHidden/>
    <w:qFormat/>
    <w:locked/>
    <w:rPr>
      <w:rFonts w:ascii="微软雅黑" w:eastAsia="微软雅黑" w:hAnsi="微软雅黑" w:cs="微软雅黑"/>
      <w:color w:val="000000"/>
      <w:sz w:val="18"/>
      <w:szCs w:val="18"/>
    </w:rPr>
  </w:style>
  <w:style w:type="character" w:customStyle="1" w:styleId="a6">
    <w:name w:val="批注文字 字符"/>
    <w:link w:val="a5"/>
    <w:uiPriority w:val="99"/>
    <w:semiHidden/>
    <w:qFormat/>
    <w:rPr>
      <w:rFonts w:ascii="微软雅黑" w:eastAsia="微软雅黑" w:hAnsi="微软雅黑" w:cs="微软雅黑"/>
      <w:color w:val="000000"/>
      <w:kern w:val="2"/>
      <w:sz w:val="24"/>
      <w:szCs w:val="22"/>
    </w:rPr>
  </w:style>
  <w:style w:type="character" w:customStyle="1" w:styleId="af0">
    <w:name w:val="批注主题 字符"/>
    <w:link w:val="af"/>
    <w:uiPriority w:val="99"/>
    <w:semiHidden/>
    <w:qFormat/>
    <w:rPr>
      <w:rFonts w:ascii="微软雅黑" w:eastAsia="微软雅黑" w:hAnsi="微软雅黑" w:cs="微软雅黑"/>
      <w:b/>
      <w:bCs/>
      <w:color w:val="000000"/>
      <w:kern w:val="2"/>
      <w:sz w:val="24"/>
      <w:szCs w:val="22"/>
    </w:rPr>
  </w:style>
  <w:style w:type="paragraph" w:styleId="af3">
    <w:name w:val="Revision"/>
    <w:hidden/>
    <w:uiPriority w:val="99"/>
    <w:semiHidden/>
    <w:rsid w:val="00D94917"/>
    <w:rPr>
      <w:rFonts w:ascii="微软雅黑" w:eastAsia="微软雅黑" w:hAnsi="微软雅黑" w:cs="微软雅黑"/>
      <w:color w:val="000000"/>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3"/>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付坚</dc:creator>
  <cp:lastModifiedBy>Chang</cp:lastModifiedBy>
  <cp:revision>163</cp:revision>
  <cp:lastPrinted>2021-12-22T09:04:00Z</cp:lastPrinted>
  <dcterms:created xsi:type="dcterms:W3CDTF">2014-07-25T02:48:00Z</dcterms:created>
  <dcterms:modified xsi:type="dcterms:W3CDTF">2021-12-22T09:07:00Z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