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宋体" w:hAnsi="宋体"/>
          <w:b/>
          <w:szCs w:val="21"/>
        </w:rPr>
      </w:pPr>
      <w:r>
        <w:rPr>
          <w:rFonts w:ascii="宋体" w:hAnsi="宋体"/>
          <w:b/>
          <w:szCs w:val="21"/>
        </w:rPr>
        <w:t xml:space="preserve">A股代码：601166              </w:t>
      </w:r>
      <w:r>
        <w:rPr>
          <w:rFonts w:hint="eastAsia" w:ascii="宋体" w:hAnsi="宋体"/>
          <w:b/>
          <w:szCs w:val="21"/>
        </w:rPr>
        <w:t xml:space="preserve">    </w:t>
      </w:r>
      <w:r>
        <w:rPr>
          <w:rFonts w:ascii="宋体" w:hAnsi="宋体"/>
          <w:b/>
          <w:szCs w:val="21"/>
        </w:rPr>
        <w:t>A股简称：</w:t>
      </w:r>
      <w:r>
        <w:rPr>
          <w:rFonts w:hint="eastAsia" w:ascii="宋体" w:hAnsi="宋体"/>
          <w:b/>
          <w:szCs w:val="21"/>
        </w:rPr>
        <w:t>兴业银行</w:t>
      </w:r>
      <w:r>
        <w:rPr>
          <w:rFonts w:ascii="宋体" w:hAnsi="宋体"/>
          <w:b/>
          <w:szCs w:val="21"/>
        </w:rPr>
        <w:t xml:space="preserve">           </w:t>
      </w:r>
      <w:r>
        <w:rPr>
          <w:rFonts w:hint="eastAsia" w:ascii="宋体" w:hAnsi="宋体"/>
          <w:b/>
          <w:szCs w:val="21"/>
        </w:rPr>
        <w:t xml:space="preserve">    </w:t>
      </w:r>
      <w:r>
        <w:rPr>
          <w:rFonts w:ascii="宋体" w:hAnsi="宋体"/>
          <w:b/>
          <w:szCs w:val="21"/>
        </w:rPr>
        <w:t>编号：临2022-002</w:t>
      </w:r>
    </w:p>
    <w:p>
      <w:pPr>
        <w:spacing w:line="400" w:lineRule="exact"/>
        <w:ind w:left="-105" w:leftChars="-50"/>
        <w:rPr>
          <w:rFonts w:ascii="宋体" w:hAnsi="宋体"/>
          <w:b/>
          <w:sz w:val="24"/>
          <w:szCs w:val="24"/>
        </w:rPr>
      </w:pPr>
      <w:r>
        <w:rPr>
          <w:rFonts w:hint="eastAsia" w:ascii="宋体" w:hAnsi="宋体"/>
          <w:b/>
          <w:szCs w:val="21"/>
        </w:rPr>
        <w:t>优先股代码：</w:t>
      </w:r>
      <w:r>
        <w:rPr>
          <w:rFonts w:ascii="宋体" w:hAnsi="宋体"/>
          <w:b/>
          <w:szCs w:val="21"/>
        </w:rPr>
        <w:t xml:space="preserve">360005、360012、360032  </w:t>
      </w:r>
      <w:r>
        <w:rPr>
          <w:rFonts w:hint="eastAsia" w:ascii="宋体" w:hAnsi="宋体"/>
          <w:b/>
          <w:szCs w:val="21"/>
        </w:rPr>
        <w:t xml:space="preserve">         优先股简称：兴业优</w:t>
      </w:r>
      <w:r>
        <w:rPr>
          <w:rFonts w:ascii="宋体" w:hAnsi="宋体"/>
          <w:b/>
          <w:szCs w:val="21"/>
        </w:rPr>
        <w:t>1、兴业优2、兴业优3</w:t>
      </w:r>
    </w:p>
    <w:p>
      <w:pPr>
        <w:pStyle w:val="8"/>
        <w:adjustRightInd w:val="0"/>
        <w:snapToGrid w:val="0"/>
        <w:spacing w:before="0" w:beforeAutospacing="0" w:after="0" w:afterAutospacing="0" w:line="360" w:lineRule="auto"/>
        <w:rPr>
          <w:rFonts w:cs="Times New Roman"/>
          <w:color w:val="000000"/>
          <w:kern w:val="2"/>
          <w:szCs w:val="20"/>
        </w:rPr>
      </w:pPr>
    </w:p>
    <w:p>
      <w:pPr>
        <w:widowControl/>
        <w:spacing w:line="500" w:lineRule="exact"/>
        <w:ind w:hanging="11"/>
        <w:jc w:val="center"/>
        <w:rPr>
          <w:rFonts w:ascii="黑体" w:hAnsi="黑体" w:eastAsia="黑体" w:cs="微软雅黑"/>
          <w:color w:val="FF0000"/>
          <w:sz w:val="36"/>
          <w:szCs w:val="22"/>
        </w:rPr>
      </w:pPr>
      <w:r>
        <w:rPr>
          <w:rFonts w:hint="eastAsia" w:ascii="黑体" w:hAnsi="黑体" w:eastAsia="黑体" w:cs="微软雅黑"/>
          <w:color w:val="FF0000"/>
          <w:sz w:val="36"/>
          <w:szCs w:val="22"/>
        </w:rPr>
        <w:t>兴业银行股份有限公司</w:t>
      </w:r>
    </w:p>
    <w:p>
      <w:pPr>
        <w:widowControl/>
        <w:spacing w:line="500" w:lineRule="exact"/>
        <w:ind w:hanging="11"/>
        <w:jc w:val="center"/>
        <w:rPr>
          <w:rFonts w:ascii="黑体" w:eastAsia="黑体"/>
          <w:color w:val="FF0000"/>
          <w:sz w:val="36"/>
          <w:szCs w:val="36"/>
        </w:rPr>
      </w:pPr>
      <w:r>
        <w:rPr>
          <w:rFonts w:hint="eastAsia" w:ascii="黑体" w:hAnsi="黑体" w:eastAsia="黑体" w:cs="微软雅黑"/>
          <w:color w:val="FF0000"/>
          <w:sz w:val="36"/>
          <w:szCs w:val="22"/>
        </w:rPr>
        <w:t>202</w:t>
      </w:r>
      <w:r>
        <w:rPr>
          <w:rFonts w:ascii="黑体" w:hAnsi="黑体" w:eastAsia="黑体" w:cs="微软雅黑"/>
          <w:color w:val="FF0000"/>
          <w:sz w:val="36"/>
          <w:szCs w:val="22"/>
        </w:rPr>
        <w:t>1</w:t>
      </w:r>
      <w:r>
        <w:rPr>
          <w:rFonts w:hint="eastAsia" w:ascii="黑体" w:hAnsi="黑体" w:eastAsia="黑体" w:cs="微软雅黑"/>
          <w:color w:val="FF0000"/>
          <w:sz w:val="36"/>
          <w:szCs w:val="22"/>
        </w:rPr>
        <w:t>年度业绩快报</w:t>
      </w:r>
      <w:r>
        <w:rPr>
          <w:rFonts w:hint="eastAsia" w:ascii="黑体" w:eastAsia="黑体"/>
          <w:color w:val="FF0000"/>
          <w:sz w:val="36"/>
          <w:szCs w:val="36"/>
        </w:rPr>
        <w:t>公告</w:t>
      </w:r>
    </w:p>
    <w:p>
      <w:pPr>
        <w:widowControl/>
        <w:spacing w:line="360" w:lineRule="exact"/>
        <w:ind w:hanging="11"/>
        <w:jc w:val="center"/>
        <w:rPr>
          <w:rFonts w:ascii="黑体" w:hAnsi="黑体" w:eastAsia="黑体" w:cs="微软雅黑"/>
          <w:color w:val="FF0000"/>
          <w:sz w:val="36"/>
          <w:szCs w:val="22"/>
        </w:rPr>
      </w:pPr>
    </w:p>
    <w:p>
      <w:pPr>
        <w:spacing w:line="360" w:lineRule="auto"/>
        <w:ind w:firstLine="480" w:firstLineChars="200"/>
        <w:rPr>
          <w:rFonts w:ascii="宋体" w:hAnsi="宋体"/>
          <w:sz w:val="24"/>
        </w:rPr>
      </w:pPr>
      <w:r>
        <w:rPr>
          <w:rFonts w:hint="eastAsia" w:ascii="宋体" w:hAnsi="宋体"/>
          <w:sz w:val="24"/>
        </w:rPr>
        <w:t>本公司董事会及全体董事保证本公告内容不存在任何虚假记载、误导性陈述或者重大遗漏，并对其内容的真实性、准确性和完整性承担个别及连带责任。</w:t>
      </w:r>
    </w:p>
    <w:p>
      <w:pPr>
        <w:autoSpaceDE w:val="0"/>
        <w:autoSpaceDN w:val="0"/>
        <w:adjustRightInd w:val="0"/>
        <w:snapToGrid w:val="0"/>
        <w:spacing w:line="360" w:lineRule="auto"/>
        <w:ind w:firstLine="480" w:firstLineChars="200"/>
        <w:jc w:val="left"/>
        <w:rPr>
          <w:rFonts w:ascii="宋体" w:hAnsi="宋体" w:cs="宋体-WinCharSetFFFF-H"/>
          <w:kern w:val="0"/>
          <w:sz w:val="24"/>
        </w:rPr>
      </w:pPr>
      <w:r>
        <w:rPr>
          <w:rFonts w:hint="eastAsia" w:ascii="宋体" w:hAnsi="宋体" w:cs="宋体-WinCharSetFFFF-H"/>
          <w:kern w:val="0"/>
          <w:sz w:val="24"/>
        </w:rPr>
        <w:t>本公告所载</w:t>
      </w:r>
      <w:r>
        <w:rPr>
          <w:rFonts w:ascii="宋体" w:hAnsi="宋体" w:cs="宋体-WinCharSetFFFF-H"/>
          <w:kern w:val="0"/>
          <w:sz w:val="24"/>
        </w:rPr>
        <w:t>20</w:t>
      </w:r>
      <w:r>
        <w:rPr>
          <w:rFonts w:hint="eastAsia" w:ascii="宋体" w:hAnsi="宋体" w:cs="宋体-WinCharSetFFFF-H"/>
          <w:kern w:val="0"/>
          <w:sz w:val="24"/>
        </w:rPr>
        <w:t>2</w:t>
      </w:r>
      <w:r>
        <w:rPr>
          <w:rFonts w:ascii="宋体" w:hAnsi="宋体" w:cs="宋体-WinCharSetFFFF-H"/>
          <w:kern w:val="0"/>
          <w:sz w:val="24"/>
        </w:rPr>
        <w:t>1</w:t>
      </w:r>
      <w:r>
        <w:rPr>
          <w:rFonts w:hint="eastAsia" w:ascii="宋体" w:hAnsi="宋体" w:cs="宋体-WinCharSetFFFF-H"/>
          <w:kern w:val="0"/>
          <w:sz w:val="24"/>
        </w:rPr>
        <w:t>年度主要财务数据为初步核算的集团口径数据，未经会计师事务所审计，具体数据以公司</w:t>
      </w:r>
      <w:r>
        <w:rPr>
          <w:rFonts w:ascii="宋体" w:hAnsi="宋体" w:cs="宋体-WinCharSetFFFF-H"/>
          <w:kern w:val="0"/>
          <w:sz w:val="24"/>
        </w:rPr>
        <w:t>20</w:t>
      </w:r>
      <w:r>
        <w:rPr>
          <w:rFonts w:hint="eastAsia" w:ascii="宋体" w:hAnsi="宋体" w:cs="宋体-WinCharSetFFFF-H"/>
          <w:kern w:val="0"/>
          <w:sz w:val="24"/>
        </w:rPr>
        <w:t>2</w:t>
      </w:r>
      <w:r>
        <w:rPr>
          <w:rFonts w:ascii="宋体" w:hAnsi="宋体" w:cs="宋体-WinCharSetFFFF-H"/>
          <w:kern w:val="0"/>
          <w:sz w:val="24"/>
        </w:rPr>
        <w:t>1</w:t>
      </w:r>
      <w:r>
        <w:rPr>
          <w:rFonts w:hint="eastAsia" w:ascii="宋体" w:hAnsi="宋体" w:cs="宋体-WinCharSetFFFF-H"/>
          <w:kern w:val="0"/>
          <w:sz w:val="24"/>
        </w:rPr>
        <w:t>年年度报告中披露的数据为准，请投资者注意投资风险。</w:t>
      </w:r>
    </w:p>
    <w:p>
      <w:pPr>
        <w:pStyle w:val="8"/>
        <w:spacing w:after="0" w:afterAutospacing="0" w:line="360" w:lineRule="auto"/>
        <w:ind w:firstLine="480" w:firstLineChars="200"/>
        <w:rPr>
          <w:rFonts w:cs="Arial"/>
        </w:rPr>
      </w:pPr>
      <w:r>
        <w:rPr>
          <w:rFonts w:hint="eastAsia" w:cs="Arial"/>
        </w:rPr>
        <w:t>一、主要</w:t>
      </w:r>
      <w:r>
        <w:rPr>
          <w:rFonts w:cs="Arial"/>
        </w:rPr>
        <w:t>财务数据和</w:t>
      </w:r>
      <w:r>
        <w:rPr>
          <w:rFonts w:hint="eastAsia" w:cs="Arial"/>
        </w:rPr>
        <w:t>指标</w:t>
      </w:r>
    </w:p>
    <w:p>
      <w:pPr>
        <w:pStyle w:val="8"/>
        <w:spacing w:before="0" w:beforeAutospacing="0" w:after="0" w:afterAutospacing="0" w:line="400" w:lineRule="exact"/>
        <w:rPr>
          <w:rFonts w:cs="Arial"/>
        </w:rPr>
      </w:pPr>
      <w:r>
        <w:rPr>
          <w:rFonts w:hint="eastAsia" w:cs="Arial"/>
        </w:rPr>
        <w:t xml:space="preserve">                                                       单位：人民币百万元</w:t>
      </w:r>
    </w:p>
    <w:tbl>
      <w:tblPr>
        <w:tblStyle w:val="10"/>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2289"/>
        <w:gridCol w:w="219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center"/>
              <w:rPr>
                <w:rFonts w:cs="Arial"/>
                <w:b/>
              </w:rPr>
            </w:pPr>
            <w:r>
              <w:rPr>
                <w:rFonts w:hint="eastAsia" w:cs="Arial"/>
                <w:b/>
              </w:rPr>
              <w:t>项目</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jc w:val="center"/>
              <w:rPr>
                <w:rFonts w:cs="Arial"/>
                <w:b/>
              </w:rPr>
            </w:pPr>
            <w:r>
              <w:rPr>
                <w:rFonts w:cs="Arial"/>
                <w:b/>
              </w:rPr>
              <w:t>2021</w:t>
            </w:r>
            <w:r>
              <w:rPr>
                <w:rFonts w:hint="eastAsia" w:cs="Arial"/>
                <w:b/>
              </w:rPr>
              <w:t>年</w:t>
            </w:r>
          </w:p>
          <w:p>
            <w:pPr>
              <w:pStyle w:val="8"/>
              <w:adjustRightInd w:val="0"/>
              <w:snapToGrid w:val="0"/>
              <w:spacing w:before="46" w:beforeLines="15" w:beforeAutospacing="0" w:after="46" w:afterLines="15" w:afterAutospacing="0"/>
              <w:jc w:val="center"/>
              <w:rPr>
                <w:rFonts w:cs="Arial"/>
                <w:b/>
              </w:rPr>
            </w:pPr>
            <w:r>
              <w:rPr>
                <w:rFonts w:cs="Arial"/>
                <w:b/>
              </w:rPr>
              <w:t>(未经审计)</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jc w:val="center"/>
              <w:rPr>
                <w:rFonts w:cs="Arial"/>
                <w:b/>
              </w:rPr>
            </w:pPr>
            <w:r>
              <w:rPr>
                <w:rFonts w:cs="Arial"/>
                <w:b/>
              </w:rPr>
              <w:t>2020</w:t>
            </w:r>
            <w:r>
              <w:rPr>
                <w:rFonts w:hint="eastAsia" w:cs="Arial"/>
                <w:b/>
              </w:rPr>
              <w:t>年</w:t>
            </w:r>
          </w:p>
          <w:p>
            <w:pPr>
              <w:pStyle w:val="8"/>
              <w:adjustRightInd w:val="0"/>
              <w:snapToGrid w:val="0"/>
              <w:spacing w:before="46" w:beforeLines="15" w:beforeAutospacing="0" w:after="46" w:afterLines="15" w:afterAutospacing="0"/>
              <w:jc w:val="center"/>
              <w:rPr>
                <w:rFonts w:cs="Arial"/>
                <w:b/>
              </w:rPr>
            </w:pPr>
            <w:r>
              <w:rPr>
                <w:rFonts w:hint="eastAsia" w:cs="Arial"/>
                <w:b/>
              </w:rPr>
              <w:t>（经审计）</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jc w:val="center"/>
              <w:rPr>
                <w:rFonts w:cs="Arial"/>
                <w:b/>
              </w:rPr>
            </w:pPr>
            <w:r>
              <w:rPr>
                <w:rFonts w:hint="eastAsia" w:cs="Arial"/>
                <w:b/>
              </w:rPr>
              <w:t>增减变动幅度（</w:t>
            </w:r>
            <w:r>
              <w:rPr>
                <w:rFonts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营业收入</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221,236</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203,137</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bCs/>
              </w:rPr>
              <w:t>拨备前利润</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162,209</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151,974</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营业利润</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95,199</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76,547</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24.37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利润总额</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95,310</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76,637</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24.37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归属于母公司股东的净利润</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82,680</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66,626</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jc w:val="both"/>
              <w:rPr>
                <w:rFonts w:cs="Arial"/>
              </w:rPr>
            </w:pPr>
            <w:r>
              <w:rPr>
                <w:rFonts w:hint="eastAsia" w:cs="Arial"/>
              </w:rPr>
              <w:t>归属于母公司股东的扣除非经常性损益的净利润</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 xml:space="preserve">82,206 </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66,218</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基本每股收益（元）</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3.77</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3.08</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right"/>
              <w:rPr>
                <w:rFonts w:cs="Arial"/>
              </w:rPr>
            </w:pPr>
            <w:r>
              <w:rPr>
                <w:rFonts w:cs="Arial"/>
              </w:rPr>
              <w:t>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加权平均净资产收益率</w:t>
            </w:r>
            <w:r>
              <w:rPr>
                <w:rFonts w:hint="eastAsia"/>
              </w:rPr>
              <w:t>（</w:t>
            </w:r>
            <w:r>
              <w:t>%）</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13.94</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12.62</w:t>
            </w:r>
          </w:p>
        </w:tc>
        <w:tc>
          <w:tcPr>
            <w:tcW w:w="1781" w:type="dxa"/>
            <w:tcBorders>
              <w:top w:val="single" w:color="auto" w:sz="4" w:space="0"/>
              <w:left w:val="single" w:color="auto" w:sz="4" w:space="0"/>
              <w:bottom w:val="single" w:color="auto" w:sz="4" w:space="0"/>
              <w:right w:val="single" w:color="auto" w:sz="4" w:space="0"/>
            </w:tcBorders>
          </w:tcPr>
          <w:p>
            <w:pPr>
              <w:pStyle w:val="8"/>
              <w:adjustRightInd w:val="0"/>
              <w:snapToGrid w:val="0"/>
              <w:spacing w:before="0" w:beforeAutospacing="0" w:after="0" w:afterAutospacing="0"/>
              <w:jc w:val="right"/>
            </w:pPr>
            <w:r>
              <w:rPr>
                <w:rFonts w:hint="eastAsia"/>
              </w:rPr>
              <w:t>提高</w:t>
            </w:r>
            <w:r>
              <w:t>1.32个</w:t>
            </w:r>
          </w:p>
          <w:p>
            <w:pPr>
              <w:pStyle w:val="8"/>
              <w:adjustRightInd w:val="0"/>
              <w:snapToGrid w:val="0"/>
              <w:spacing w:before="0" w:beforeAutospacing="0" w:after="0" w:afterAutospacing="0"/>
              <w:jc w:val="right"/>
            </w:pPr>
            <w: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center"/>
              <w:rPr>
                <w:rFonts w:cs="Arial"/>
                <w:b/>
              </w:rPr>
            </w:pP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jc w:val="center"/>
              <w:rPr>
                <w:rFonts w:cs="Arial"/>
                <w:b/>
              </w:rPr>
            </w:pPr>
            <w:r>
              <w:rPr>
                <w:rFonts w:cs="Arial"/>
                <w:b/>
              </w:rPr>
              <w:t>2021</w:t>
            </w:r>
            <w:r>
              <w:rPr>
                <w:rFonts w:hint="eastAsia" w:cs="Arial"/>
                <w:b/>
              </w:rPr>
              <w:t>年</w:t>
            </w:r>
            <w:r>
              <w:rPr>
                <w:rFonts w:cs="Arial"/>
                <w:b/>
              </w:rPr>
              <w:t>12月31日</w:t>
            </w:r>
          </w:p>
          <w:p>
            <w:pPr>
              <w:pStyle w:val="8"/>
              <w:adjustRightInd w:val="0"/>
              <w:snapToGrid w:val="0"/>
              <w:spacing w:before="46" w:beforeLines="15" w:beforeAutospacing="0" w:after="46" w:afterLines="15" w:afterAutospacing="0"/>
              <w:jc w:val="center"/>
              <w:rPr>
                <w:rFonts w:cs="Arial"/>
                <w:b/>
              </w:rPr>
            </w:pPr>
            <w:r>
              <w:rPr>
                <w:rFonts w:cs="Arial"/>
                <w:b/>
              </w:rPr>
              <w:t>(未经审计)</w:t>
            </w:r>
          </w:p>
        </w:tc>
        <w:tc>
          <w:tcPr>
            <w:tcW w:w="219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jc w:val="center"/>
              <w:rPr>
                <w:rFonts w:cs="Arial"/>
                <w:b/>
              </w:rPr>
            </w:pPr>
            <w:r>
              <w:rPr>
                <w:rFonts w:cs="Arial"/>
                <w:b/>
              </w:rPr>
              <w:t>2020</w:t>
            </w:r>
            <w:r>
              <w:rPr>
                <w:rFonts w:hint="eastAsia" w:cs="Arial"/>
                <w:b/>
              </w:rPr>
              <w:t>年</w:t>
            </w:r>
            <w:r>
              <w:rPr>
                <w:rFonts w:cs="Arial"/>
                <w:b/>
              </w:rPr>
              <w:t>12月31日</w:t>
            </w:r>
          </w:p>
          <w:p>
            <w:pPr>
              <w:pStyle w:val="8"/>
              <w:adjustRightInd w:val="0"/>
              <w:snapToGrid w:val="0"/>
              <w:spacing w:before="46" w:beforeLines="15" w:beforeAutospacing="0" w:after="46" w:afterLines="15" w:afterAutospacing="0"/>
              <w:jc w:val="center"/>
              <w:rPr>
                <w:rFonts w:cs="Arial"/>
                <w:b/>
              </w:rPr>
            </w:pPr>
            <w:r>
              <w:rPr>
                <w:rFonts w:hint="eastAsia" w:cs="Arial"/>
                <w:b/>
              </w:rPr>
              <w:t>（经审计）</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jc w:val="center"/>
              <w:rPr>
                <w:rFonts w:cs="Arial"/>
                <w:b/>
              </w:rPr>
            </w:pPr>
            <w:r>
              <w:rPr>
                <w:rFonts w:hint="eastAsia" w:cs="Arial"/>
                <w:b/>
              </w:rPr>
              <w:t>增减变动幅度（</w:t>
            </w:r>
            <w:r>
              <w:rPr>
                <w:rFonts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总资产</w:t>
            </w:r>
          </w:p>
        </w:tc>
        <w:tc>
          <w:tcPr>
            <w:tcW w:w="2289"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8,601,324</w:t>
            </w:r>
          </w:p>
        </w:tc>
        <w:tc>
          <w:tcPr>
            <w:tcW w:w="2190"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7,894,000</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总负债</w:t>
            </w:r>
          </w:p>
        </w:tc>
        <w:tc>
          <w:tcPr>
            <w:tcW w:w="2289"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7,907,028</w:t>
            </w:r>
          </w:p>
        </w:tc>
        <w:tc>
          <w:tcPr>
            <w:tcW w:w="2190"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7,269,197</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jc w:val="both"/>
              <w:rPr>
                <w:rFonts w:cs="Arial"/>
              </w:rPr>
            </w:pPr>
            <w:r>
              <w:rPr>
                <w:rFonts w:hint="eastAsia" w:cs="Arial"/>
              </w:rPr>
              <w:t>归属于母公司股东的所有者权益</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684,111</w:t>
            </w:r>
          </w:p>
        </w:tc>
        <w:tc>
          <w:tcPr>
            <w:tcW w:w="2190"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615,586</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jc w:val="both"/>
              <w:rPr>
                <w:rFonts w:cs="Arial"/>
              </w:rPr>
            </w:pPr>
            <w:r>
              <w:rPr>
                <w:rFonts w:hint="eastAsia"/>
              </w:rPr>
              <w:t>归属于母公司普通股股东的所有者权益</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598,309</w:t>
            </w:r>
          </w:p>
        </w:tc>
        <w:tc>
          <w:tcPr>
            <w:tcW w:w="2190"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529,784</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jc w:val="both"/>
              <w:rPr>
                <w:rFonts w:cs="Arial"/>
              </w:rPr>
            </w:pPr>
            <w:r>
              <w:rPr>
                <w:rFonts w:hint="eastAsia" w:cs="Arial"/>
              </w:rPr>
              <w:t>普通股股本</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20,774</w:t>
            </w:r>
          </w:p>
        </w:tc>
        <w:tc>
          <w:tcPr>
            <w:tcW w:w="2190"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cs="Arial"/>
                <w:sz w:val="24"/>
                <w:szCs w:val="24"/>
              </w:rPr>
            </w:pPr>
            <w:r>
              <w:rPr>
                <w:rFonts w:ascii="宋体" w:hAnsi="宋体" w:cs="Arial"/>
                <w:kern w:val="0"/>
                <w:sz w:val="24"/>
                <w:szCs w:val="24"/>
              </w:rPr>
              <w:t>20,774</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46" w:beforeLines="15" w:beforeAutospacing="0" w:after="46" w:afterLines="15" w:afterAutospacing="0" w:line="400" w:lineRule="exact"/>
              <w:ind w:firstLine="480" w:firstLineChars="200"/>
              <w:jc w:val="right"/>
              <w:rPr>
                <w:rFonts w:cs="Arial"/>
              </w:rPr>
            </w:pP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jc w:val="both"/>
              <w:rPr>
                <w:rFonts w:cs="Arial"/>
              </w:rPr>
            </w:pPr>
            <w:r>
              <w:rPr>
                <w:rFonts w:hint="eastAsia"/>
              </w:rPr>
              <w:t>归属于母公司普通股股东每股净资产（元）</w:t>
            </w:r>
          </w:p>
        </w:tc>
        <w:tc>
          <w:tcPr>
            <w:tcW w:w="228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28.80</w:t>
            </w:r>
          </w:p>
        </w:tc>
        <w:tc>
          <w:tcPr>
            <w:tcW w:w="2190"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25.50</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ind w:firstLine="480" w:firstLineChars="200"/>
              <w:jc w:val="right"/>
              <w:rPr>
                <w:rFonts w:cs="Arial"/>
              </w:rPr>
            </w:pPr>
            <w:r>
              <w:rPr>
                <w:rFonts w:cs="Arial"/>
              </w:rPr>
              <w:t>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jc w:val="both"/>
              <w:rPr>
                <w:rFonts w:cs="Arial"/>
              </w:rPr>
            </w:pPr>
            <w:r>
              <w:rPr>
                <w:rFonts w:hint="eastAsia" w:cs="Arial"/>
              </w:rPr>
              <w:t>不良贷款率（</w:t>
            </w:r>
            <w:r>
              <w:rPr>
                <w:rFonts w:cs="Arial"/>
              </w:rPr>
              <w:t>%）</w:t>
            </w:r>
          </w:p>
        </w:tc>
        <w:tc>
          <w:tcPr>
            <w:tcW w:w="228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right"/>
              <w:rPr>
                <w:rFonts w:ascii="宋体" w:hAnsi="宋体" w:cs="Arial"/>
                <w:kern w:val="0"/>
                <w:sz w:val="24"/>
                <w:szCs w:val="24"/>
              </w:rPr>
            </w:pPr>
            <w:r>
              <w:rPr>
                <w:rFonts w:ascii="宋体" w:hAnsi="宋体" w:cs="Arial"/>
                <w:kern w:val="0"/>
                <w:sz w:val="24"/>
                <w:szCs w:val="24"/>
              </w:rPr>
              <w:t>1.10</w:t>
            </w:r>
          </w:p>
        </w:tc>
        <w:tc>
          <w:tcPr>
            <w:tcW w:w="2190"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1.25</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jc w:val="right"/>
              <w:rPr>
                <w:rFonts w:cs="Arial"/>
              </w:rPr>
            </w:pPr>
            <w:r>
              <w:rPr>
                <w:rFonts w:hint="eastAsia" w:cs="Arial"/>
              </w:rPr>
              <w:t>下降</w:t>
            </w:r>
            <w:r>
              <w:rPr>
                <w:rFonts w:cs="Arial"/>
              </w:rPr>
              <w:t>0.15个</w:t>
            </w:r>
          </w:p>
          <w:p>
            <w:pPr>
              <w:pStyle w:val="8"/>
              <w:adjustRightInd w:val="0"/>
              <w:snapToGrid w:val="0"/>
              <w:spacing w:before="0" w:beforeAutospacing="0" w:after="0" w:afterAutospacing="0"/>
              <w:jc w:val="right"/>
              <w:rPr>
                <w:rFonts w:cs="Arial"/>
              </w:rPr>
            </w:pPr>
            <w:r>
              <w:rPr>
                <w:rFonts w:cs="Arial"/>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11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line="400" w:lineRule="exact"/>
              <w:jc w:val="both"/>
              <w:rPr>
                <w:rFonts w:cs="Arial"/>
              </w:rPr>
            </w:pPr>
            <w:r>
              <w:rPr>
                <w:rFonts w:hint="eastAsia"/>
                <w:bCs/>
              </w:rPr>
              <w:t>拨备覆盖率（</w:t>
            </w:r>
            <w:r>
              <w:rPr>
                <w:bCs/>
              </w:rPr>
              <w:t>%）</w:t>
            </w:r>
          </w:p>
        </w:tc>
        <w:tc>
          <w:tcPr>
            <w:tcW w:w="228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right"/>
              <w:rPr>
                <w:rFonts w:ascii="宋体" w:hAnsi="宋体" w:cs="Arial"/>
                <w:kern w:val="0"/>
                <w:sz w:val="24"/>
                <w:szCs w:val="24"/>
              </w:rPr>
            </w:pPr>
            <w:r>
              <w:rPr>
                <w:rFonts w:ascii="宋体" w:hAnsi="宋体" w:cs="Arial"/>
                <w:kern w:val="0"/>
                <w:sz w:val="24"/>
                <w:szCs w:val="24"/>
              </w:rPr>
              <w:t>268.73</w:t>
            </w:r>
          </w:p>
        </w:tc>
        <w:tc>
          <w:tcPr>
            <w:tcW w:w="2190"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cs="Arial"/>
                <w:kern w:val="0"/>
                <w:sz w:val="24"/>
                <w:szCs w:val="24"/>
              </w:rPr>
            </w:pPr>
            <w:r>
              <w:rPr>
                <w:rFonts w:ascii="宋体" w:hAnsi="宋体" w:cs="Arial"/>
                <w:kern w:val="0"/>
                <w:sz w:val="24"/>
                <w:szCs w:val="24"/>
              </w:rPr>
              <w:t>218.83</w:t>
            </w:r>
          </w:p>
        </w:tc>
        <w:tc>
          <w:tcPr>
            <w:tcW w:w="178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before="0" w:beforeAutospacing="0" w:after="0" w:afterAutospacing="0"/>
              <w:jc w:val="right"/>
              <w:rPr>
                <w:rFonts w:cs="Arial"/>
              </w:rPr>
            </w:pPr>
            <w:r>
              <w:rPr>
                <w:rFonts w:hint="eastAsia" w:cs="Arial"/>
              </w:rPr>
              <w:t>提高</w:t>
            </w:r>
            <w:r>
              <w:rPr>
                <w:rFonts w:cs="Arial"/>
              </w:rPr>
              <w:t>49.90个</w:t>
            </w:r>
          </w:p>
          <w:p>
            <w:pPr>
              <w:pStyle w:val="8"/>
              <w:adjustRightInd w:val="0"/>
              <w:snapToGrid w:val="0"/>
              <w:spacing w:before="0" w:beforeAutospacing="0" w:after="0" w:afterAutospacing="0"/>
              <w:jc w:val="right"/>
              <w:rPr>
                <w:rFonts w:cs="Arial"/>
              </w:rPr>
            </w:pPr>
            <w:r>
              <w:rPr>
                <w:rFonts w:cs="Arial"/>
              </w:rPr>
              <w:t>百分点</w:t>
            </w:r>
          </w:p>
        </w:tc>
      </w:tr>
    </w:tbl>
    <w:p>
      <w:pPr>
        <w:spacing w:line="400" w:lineRule="exact"/>
        <w:ind w:firstLine="420" w:firstLineChars="200"/>
        <w:rPr>
          <w:rFonts w:ascii="宋体" w:hAnsi="宋体"/>
          <w:szCs w:val="21"/>
        </w:rPr>
      </w:pPr>
      <w:r>
        <w:rPr>
          <w:rFonts w:hint="eastAsia" w:ascii="宋体" w:hAnsi="宋体"/>
          <w:szCs w:val="21"/>
        </w:rPr>
        <w:t>注：每股收益、加权平均净资产收益率根据《公开发行证券的公司信息披露编报规则第9号——净资产收益率和每股收益的计算及披露》（2010年修订）计算，考虑了优先股股息</w:t>
      </w:r>
      <w:r>
        <w:rPr>
          <w:rFonts w:hint="eastAsia" w:ascii="宋体" w:hAnsi="宋体"/>
          <w:bCs/>
          <w:szCs w:val="21"/>
        </w:rPr>
        <w:t>和永续债利息</w:t>
      </w:r>
      <w:r>
        <w:rPr>
          <w:rFonts w:hint="eastAsia" w:ascii="宋体" w:hAnsi="宋体"/>
          <w:szCs w:val="21"/>
        </w:rPr>
        <w:t>发放的影响。</w:t>
      </w:r>
    </w:p>
    <w:p>
      <w:pPr>
        <w:spacing w:line="360" w:lineRule="auto"/>
        <w:ind w:firstLine="480" w:firstLineChars="200"/>
      </w:pPr>
      <w:r>
        <w:rPr>
          <w:rFonts w:hint="eastAsia" w:ascii="宋体" w:hAnsi="宋体"/>
          <w:sz w:val="24"/>
        </w:rPr>
        <w:t>二、经营业绩和财务状况说明</w:t>
      </w:r>
    </w:p>
    <w:p>
      <w:pPr>
        <w:spacing w:line="360" w:lineRule="auto"/>
        <w:ind w:firstLine="480" w:firstLineChars="200"/>
        <w:rPr>
          <w:rFonts w:ascii="宋体" w:hAnsi="宋体"/>
          <w:sz w:val="24"/>
        </w:rPr>
      </w:pPr>
      <w:r>
        <w:rPr>
          <w:rFonts w:hint="eastAsia" w:ascii="宋体" w:hAnsi="宋体"/>
          <w:sz w:val="24"/>
        </w:rPr>
        <w:t>报告期内，公司积极应对形势变化和疫情挑战，认真贯彻落实国家宏观调控政策和金融监管要求，坚</w:t>
      </w:r>
      <w:r>
        <w:rPr>
          <w:rFonts w:hint="eastAsia" w:ascii="宋体" w:hAnsi="宋体"/>
          <w:sz w:val="24"/>
          <w:lang w:eastAsia="zh-CN"/>
        </w:rPr>
        <w:t>定</w:t>
      </w:r>
      <w:bookmarkStart w:id="0" w:name="_GoBack"/>
      <w:bookmarkEnd w:id="0"/>
      <w:r>
        <w:rPr>
          <w:rFonts w:hint="eastAsia" w:ascii="宋体" w:hAnsi="宋体"/>
          <w:sz w:val="24"/>
          <w:lang w:eastAsia="zh-CN"/>
        </w:rPr>
        <w:t>公司</w:t>
      </w:r>
      <w:r>
        <w:rPr>
          <w:rFonts w:hint="eastAsia" w:ascii="宋体" w:hAnsi="宋体"/>
          <w:sz w:val="24"/>
        </w:rPr>
        <w:t>“</w:t>
      </w:r>
      <w:r>
        <w:rPr>
          <w:rFonts w:ascii="宋体" w:hAnsi="宋体"/>
          <w:sz w:val="24"/>
        </w:rPr>
        <w:t>1234”</w:t>
      </w:r>
      <w:r>
        <w:rPr>
          <w:rFonts w:hint="eastAsia" w:ascii="宋体" w:hAnsi="宋体"/>
          <w:sz w:val="24"/>
          <w:lang w:eastAsia="zh-CN"/>
        </w:rPr>
        <w:t>发展</w:t>
      </w:r>
      <w:r>
        <w:rPr>
          <w:rFonts w:ascii="宋体" w:hAnsi="宋体"/>
          <w:sz w:val="24"/>
        </w:rPr>
        <w:t>战略</w:t>
      </w:r>
      <w:r>
        <w:rPr>
          <w:rFonts w:hint="eastAsia" w:ascii="宋体" w:hAnsi="宋体"/>
          <w:sz w:val="24"/>
          <w:lang w:eastAsia="zh-CN"/>
        </w:rPr>
        <w:t>，推进高质量发展转型</w:t>
      </w:r>
      <w:r>
        <w:rPr>
          <w:rFonts w:ascii="宋体" w:hAnsi="宋体"/>
          <w:sz w:val="24"/>
        </w:rPr>
        <w:t>，持续调整优化业务</w:t>
      </w:r>
      <w:r>
        <w:rPr>
          <w:rFonts w:hint="eastAsia" w:ascii="宋体" w:hAnsi="宋体"/>
          <w:sz w:val="24"/>
          <w:lang w:eastAsia="zh-CN"/>
        </w:rPr>
        <w:t>结构</w:t>
      </w:r>
      <w:r>
        <w:rPr>
          <w:rFonts w:ascii="宋体" w:hAnsi="宋体"/>
          <w:sz w:val="24"/>
        </w:rPr>
        <w:t>，</w:t>
      </w:r>
      <w:r>
        <w:rPr>
          <w:rFonts w:hint="eastAsia" w:ascii="宋体" w:hAnsi="宋体"/>
          <w:sz w:val="24"/>
          <w:lang w:eastAsia="zh-CN"/>
        </w:rPr>
        <w:t>实现规模、效益、</w:t>
      </w:r>
      <w:r>
        <w:rPr>
          <w:rFonts w:ascii="宋体" w:hAnsi="宋体"/>
          <w:sz w:val="24"/>
        </w:rPr>
        <w:t>质量</w:t>
      </w:r>
      <w:r>
        <w:rPr>
          <w:rFonts w:hint="eastAsia" w:ascii="宋体" w:hAnsi="宋体"/>
          <w:sz w:val="24"/>
          <w:lang w:eastAsia="zh-CN"/>
        </w:rPr>
        <w:t>协调健康发展</w:t>
      </w:r>
      <w:r>
        <w:rPr>
          <w:rFonts w:ascii="宋体" w:hAnsi="宋体"/>
          <w:sz w:val="24"/>
        </w:rPr>
        <w:t>。</w:t>
      </w:r>
    </w:p>
    <w:p>
      <w:pPr>
        <w:spacing w:line="360" w:lineRule="auto"/>
        <w:ind w:firstLine="480" w:firstLineChars="200"/>
        <w:rPr>
          <w:rFonts w:ascii="宋体" w:hAnsi="宋体"/>
          <w:sz w:val="24"/>
        </w:rPr>
      </w:pPr>
      <w:r>
        <w:rPr>
          <w:rFonts w:ascii="宋体" w:hAnsi="宋体"/>
          <w:sz w:val="24"/>
        </w:rPr>
        <w:t>2021</w:t>
      </w:r>
      <w:r>
        <w:rPr>
          <w:rFonts w:hint="eastAsia" w:ascii="宋体" w:hAnsi="宋体"/>
          <w:sz w:val="24"/>
        </w:rPr>
        <w:t>年度，公司实现利润总额</w:t>
      </w:r>
      <w:r>
        <w:rPr>
          <w:rFonts w:ascii="宋体" w:hAnsi="宋体"/>
          <w:sz w:val="24"/>
        </w:rPr>
        <w:t>953.10</w:t>
      </w:r>
      <w:r>
        <w:rPr>
          <w:rFonts w:hint="eastAsia" w:ascii="宋体" w:hAnsi="宋体"/>
          <w:sz w:val="24"/>
        </w:rPr>
        <w:t>亿元，同比增长</w:t>
      </w:r>
      <w:r>
        <w:rPr>
          <w:rFonts w:ascii="宋体" w:hAnsi="宋体"/>
          <w:sz w:val="24"/>
        </w:rPr>
        <w:t>24.37%；归属于母公司股东的净利润826.80</w:t>
      </w:r>
      <w:r>
        <w:rPr>
          <w:rFonts w:hint="eastAsia" w:ascii="宋体" w:hAnsi="宋体"/>
          <w:sz w:val="24"/>
        </w:rPr>
        <w:t>亿元，同比增长</w:t>
      </w:r>
      <w:r>
        <w:rPr>
          <w:rFonts w:ascii="宋体" w:hAnsi="宋体"/>
          <w:sz w:val="24"/>
        </w:rPr>
        <w:t>24.10%，盈利能力保持较好水平。截至2021</w:t>
      </w:r>
      <w:r>
        <w:rPr>
          <w:rFonts w:hint="eastAsia" w:ascii="宋体" w:hAnsi="宋体"/>
          <w:sz w:val="24"/>
        </w:rPr>
        <w:t>年末，公司资产总额</w:t>
      </w:r>
      <w:r>
        <w:rPr>
          <w:rFonts w:ascii="宋体" w:hAnsi="宋体"/>
          <w:sz w:val="24"/>
        </w:rPr>
        <w:t>86,013.24</w:t>
      </w:r>
      <w:r>
        <w:rPr>
          <w:rFonts w:hint="eastAsia" w:ascii="宋体" w:hAnsi="宋体"/>
          <w:sz w:val="24"/>
        </w:rPr>
        <w:t>亿元，较上年末增长</w:t>
      </w:r>
      <w:r>
        <w:rPr>
          <w:rFonts w:ascii="宋体" w:hAnsi="宋体"/>
          <w:sz w:val="24"/>
        </w:rPr>
        <w:t>8.96%</w:t>
      </w:r>
      <w:r>
        <w:rPr>
          <w:rFonts w:hint="eastAsia" w:ascii="宋体" w:hAnsi="宋体"/>
          <w:sz w:val="24"/>
          <w:lang w:eastAsia="zh-CN"/>
        </w:rPr>
        <w:t>，其中</w:t>
      </w:r>
      <w:r>
        <w:rPr>
          <w:rFonts w:ascii="宋体" w:hAnsi="宋体"/>
          <w:sz w:val="24"/>
        </w:rPr>
        <w:t>本外币各项贷款余额44,281.83</w:t>
      </w:r>
      <w:r>
        <w:rPr>
          <w:rFonts w:hint="eastAsia" w:ascii="宋体" w:hAnsi="宋体"/>
          <w:sz w:val="24"/>
        </w:rPr>
        <w:t>亿元，较上年末增长</w:t>
      </w:r>
      <w:r>
        <w:rPr>
          <w:rFonts w:ascii="宋体" w:hAnsi="宋体"/>
          <w:sz w:val="24"/>
        </w:rPr>
        <w:t>11.66%</w:t>
      </w:r>
      <w:r>
        <w:rPr>
          <w:rFonts w:hint="eastAsia" w:ascii="宋体" w:hAnsi="宋体"/>
          <w:sz w:val="24"/>
          <w:lang w:eastAsia="zh-CN"/>
        </w:rPr>
        <w:t>；负债总额</w:t>
      </w:r>
      <w:r>
        <w:rPr>
          <w:rFonts w:ascii="宋体" w:hAnsi="宋体" w:cs="Arial"/>
          <w:kern w:val="0"/>
          <w:sz w:val="24"/>
          <w:szCs w:val="24"/>
        </w:rPr>
        <w:t>79,070</w:t>
      </w:r>
      <w:r>
        <w:rPr>
          <w:rFonts w:hint="eastAsia" w:ascii="宋体" w:hAnsi="宋体" w:cs="Arial"/>
          <w:kern w:val="0"/>
          <w:sz w:val="24"/>
          <w:szCs w:val="24"/>
          <w:lang w:val="en-US" w:eastAsia="zh-CN"/>
        </w:rPr>
        <w:t>.</w:t>
      </w:r>
      <w:r>
        <w:rPr>
          <w:rFonts w:ascii="宋体" w:hAnsi="宋体" w:cs="Arial"/>
          <w:kern w:val="0"/>
          <w:sz w:val="24"/>
          <w:szCs w:val="24"/>
        </w:rPr>
        <w:t>28</w:t>
      </w:r>
      <w:r>
        <w:rPr>
          <w:rFonts w:hint="eastAsia" w:ascii="宋体" w:hAnsi="宋体" w:cs="Arial"/>
          <w:kern w:val="0"/>
          <w:sz w:val="24"/>
          <w:szCs w:val="24"/>
          <w:lang w:eastAsia="zh-CN"/>
        </w:rPr>
        <w:t>亿元，较上年末增长</w:t>
      </w:r>
      <w:r>
        <w:rPr>
          <w:rFonts w:hint="eastAsia" w:ascii="宋体" w:hAnsi="宋体" w:cs="Arial"/>
          <w:kern w:val="0"/>
          <w:sz w:val="24"/>
          <w:szCs w:val="24"/>
          <w:lang w:val="en-US" w:eastAsia="zh-CN"/>
        </w:rPr>
        <w:t>8.77%，</w:t>
      </w:r>
      <w:r>
        <w:rPr>
          <w:rFonts w:hint="eastAsia" w:ascii="宋体" w:hAnsi="宋体" w:cs="Arial"/>
          <w:kern w:val="0"/>
          <w:sz w:val="24"/>
          <w:szCs w:val="24"/>
          <w:lang w:eastAsia="zh-CN"/>
        </w:rPr>
        <w:t>其中</w:t>
      </w:r>
      <w:r>
        <w:rPr>
          <w:rFonts w:ascii="宋体" w:hAnsi="宋体"/>
          <w:sz w:val="24"/>
        </w:rPr>
        <w:t>本外币各项存款余额43,110.41</w:t>
      </w:r>
      <w:r>
        <w:rPr>
          <w:rFonts w:hint="eastAsia" w:ascii="宋体" w:hAnsi="宋体"/>
          <w:sz w:val="24"/>
        </w:rPr>
        <w:t>亿元，较上年末增长</w:t>
      </w:r>
      <w:r>
        <w:rPr>
          <w:rFonts w:ascii="宋体" w:hAnsi="宋体"/>
          <w:sz w:val="24"/>
        </w:rPr>
        <w:t>6.63%。资产质量</w:t>
      </w:r>
      <w:r>
        <w:rPr>
          <w:rFonts w:hint="eastAsia" w:ascii="宋体" w:hAnsi="宋体"/>
          <w:sz w:val="24"/>
        </w:rPr>
        <w:t>持续改善</w:t>
      </w:r>
      <w:r>
        <w:rPr>
          <w:rFonts w:ascii="宋体" w:hAnsi="宋体"/>
          <w:sz w:val="24"/>
        </w:rPr>
        <w:t>，公司不良贷款余额487.14亿元，较上年末</w:t>
      </w:r>
      <w:r>
        <w:rPr>
          <w:rFonts w:hint="eastAsia" w:ascii="宋体" w:hAnsi="宋体"/>
          <w:sz w:val="24"/>
        </w:rPr>
        <w:t>减少</w:t>
      </w:r>
      <w:r>
        <w:rPr>
          <w:rFonts w:ascii="宋体" w:hAnsi="宋体"/>
          <w:sz w:val="24"/>
        </w:rPr>
        <w:t>9.42亿元；不良贷款率1.10%，</w:t>
      </w:r>
      <w:r>
        <w:rPr>
          <w:rFonts w:hint="eastAsia" w:ascii="宋体" w:hAnsi="宋体"/>
          <w:sz w:val="24"/>
        </w:rPr>
        <w:t>较上年末下降</w:t>
      </w:r>
      <w:r>
        <w:rPr>
          <w:rFonts w:ascii="宋体" w:hAnsi="宋体"/>
          <w:sz w:val="24"/>
        </w:rPr>
        <w:t>0.15个百分点</w:t>
      </w:r>
      <w:r>
        <w:rPr>
          <w:rFonts w:hint="eastAsia" w:ascii="宋体" w:hAnsi="宋体"/>
          <w:sz w:val="24"/>
        </w:rPr>
        <w:t>；</w:t>
      </w:r>
      <w:r>
        <w:rPr>
          <w:rFonts w:ascii="宋体" w:hAnsi="宋体"/>
          <w:sz w:val="24"/>
        </w:rPr>
        <w:t>拨备覆盖率268.73%，较上年末提高49.90个百分点。 </w:t>
      </w:r>
    </w:p>
    <w:p>
      <w:pPr>
        <w:spacing w:line="360" w:lineRule="auto"/>
        <w:ind w:firstLine="480" w:firstLineChars="200"/>
      </w:pPr>
      <w:r>
        <w:rPr>
          <w:rFonts w:hint="eastAsia" w:ascii="宋体" w:hAnsi="宋体"/>
          <w:sz w:val="24"/>
        </w:rPr>
        <w:t>三、风险提示</w:t>
      </w:r>
    </w:p>
    <w:p>
      <w:pPr>
        <w:spacing w:line="360" w:lineRule="auto"/>
        <w:ind w:firstLine="480" w:firstLineChars="200"/>
        <w:rPr>
          <w:rFonts w:ascii="宋体" w:hAnsi="宋体"/>
          <w:sz w:val="24"/>
        </w:rPr>
      </w:pPr>
      <w:r>
        <w:rPr>
          <w:rFonts w:hint="eastAsia" w:ascii="宋体" w:hAnsi="宋体"/>
          <w:sz w:val="24"/>
        </w:rPr>
        <w:t>本公告所载</w:t>
      </w:r>
      <w:r>
        <w:rPr>
          <w:rFonts w:ascii="宋体" w:hAnsi="宋体"/>
          <w:sz w:val="24"/>
        </w:rPr>
        <w:t>2021</w:t>
      </w:r>
      <w:r>
        <w:rPr>
          <w:rFonts w:hint="eastAsia" w:ascii="宋体" w:hAnsi="宋体"/>
          <w:sz w:val="24"/>
        </w:rPr>
        <w:t>年度数据为初步核算的集团口径数据，可能与公司</w:t>
      </w:r>
      <w:r>
        <w:rPr>
          <w:rFonts w:ascii="宋体" w:hAnsi="宋体"/>
          <w:sz w:val="24"/>
        </w:rPr>
        <w:t>2021</w:t>
      </w:r>
      <w:r>
        <w:rPr>
          <w:rFonts w:hint="eastAsia" w:ascii="宋体" w:hAnsi="宋体"/>
          <w:sz w:val="24"/>
        </w:rPr>
        <w:t>年年度报告披露的数据存在差异，但预计上述差异幅度不会超过</w:t>
      </w:r>
      <w:r>
        <w:rPr>
          <w:rFonts w:ascii="宋体" w:hAnsi="宋体"/>
          <w:sz w:val="24"/>
        </w:rPr>
        <w:t>10%</w:t>
      </w:r>
      <w:r>
        <w:rPr>
          <w:rFonts w:hint="eastAsia" w:ascii="宋体" w:hAnsi="宋体"/>
          <w:sz w:val="24"/>
        </w:rPr>
        <w:t>，请投资者注意投资风险。</w:t>
      </w:r>
    </w:p>
    <w:p>
      <w:pPr>
        <w:spacing w:line="360" w:lineRule="auto"/>
        <w:ind w:firstLine="480" w:firstLineChars="200"/>
      </w:pPr>
      <w:r>
        <w:rPr>
          <w:rFonts w:hint="eastAsia" w:ascii="宋体" w:hAnsi="宋体"/>
          <w:sz w:val="24"/>
        </w:rPr>
        <w:t>四、备查文件</w:t>
      </w:r>
    </w:p>
    <w:p>
      <w:pPr>
        <w:spacing w:line="360" w:lineRule="auto"/>
        <w:ind w:firstLine="480" w:firstLineChars="200"/>
        <w:rPr>
          <w:rFonts w:ascii="宋体" w:hAnsi="宋体"/>
          <w:sz w:val="24"/>
        </w:rPr>
      </w:pPr>
      <w:r>
        <w:rPr>
          <w:rFonts w:hint="eastAsia" w:ascii="宋体" w:hAnsi="宋体"/>
          <w:sz w:val="24"/>
        </w:rPr>
        <w:t>经公司董事长吕家进、行长陶以平和财务机构负责人赖富荣签字并盖章的比较式资产负债表和利润表。</w:t>
      </w:r>
    </w:p>
    <w:p>
      <w:pPr>
        <w:spacing w:line="360" w:lineRule="auto"/>
        <w:ind w:firstLine="480" w:firstLineChars="200"/>
      </w:pPr>
      <w:r>
        <w:rPr>
          <w:rFonts w:ascii="宋体" w:hAnsi="宋体"/>
          <w:sz w:val="24"/>
        </w:rPr>
        <w:t>特此公告。</w:t>
      </w:r>
    </w:p>
    <w:p>
      <w:pPr>
        <w:spacing w:line="360" w:lineRule="auto"/>
        <w:ind w:firstLine="420" w:firstLineChars="200"/>
      </w:pPr>
    </w:p>
    <w:p>
      <w:pPr>
        <w:spacing w:line="360" w:lineRule="auto"/>
        <w:ind w:firstLine="5520" w:firstLineChars="2300"/>
      </w:pPr>
      <w:r>
        <w:rPr>
          <w:rFonts w:ascii="宋体" w:hAnsi="宋体"/>
          <w:sz w:val="24"/>
        </w:rPr>
        <w:t>兴业银行股份有限公司董事会</w:t>
      </w:r>
    </w:p>
    <w:p>
      <w:pPr>
        <w:spacing w:line="360" w:lineRule="auto"/>
        <w:ind w:firstLine="6240" w:firstLineChars="2600"/>
      </w:pPr>
      <w:r>
        <w:rPr>
          <w:rFonts w:ascii="宋体" w:hAnsi="宋体"/>
          <w:sz w:val="24"/>
        </w:rPr>
        <w:t xml:space="preserve">2022年1月10日 </w:t>
      </w:r>
      <w:r>
        <w:rPr>
          <w:rFonts w:hint="eastAsia"/>
        </w:rPr>
        <w:t xml:space="preserve">    </w:t>
      </w:r>
    </w:p>
    <w:sectPr>
      <w:footerReference r:id="rId3" w:type="default"/>
      <w:footerReference r:id="rId4" w:type="even"/>
      <w:pgSz w:w="11906" w:h="16838"/>
      <w:pgMar w:top="1134" w:right="1531" w:bottom="73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宋体-WinCharSetFFFF-H">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93"/>
    <w:rsid w:val="00020EFA"/>
    <w:rsid w:val="00021802"/>
    <w:rsid w:val="00027D98"/>
    <w:rsid w:val="000328CB"/>
    <w:rsid w:val="00040ACD"/>
    <w:rsid w:val="00046680"/>
    <w:rsid w:val="0005248C"/>
    <w:rsid w:val="00060F3F"/>
    <w:rsid w:val="00067D10"/>
    <w:rsid w:val="000A0ED6"/>
    <w:rsid w:val="000A2A24"/>
    <w:rsid w:val="000A2B10"/>
    <w:rsid w:val="000A3856"/>
    <w:rsid w:val="000A487B"/>
    <w:rsid w:val="000A4DE1"/>
    <w:rsid w:val="000C53AD"/>
    <w:rsid w:val="000F4A02"/>
    <w:rsid w:val="000F4E9D"/>
    <w:rsid w:val="00102483"/>
    <w:rsid w:val="001125DD"/>
    <w:rsid w:val="001136CA"/>
    <w:rsid w:val="00114180"/>
    <w:rsid w:val="00114C2D"/>
    <w:rsid w:val="001205CF"/>
    <w:rsid w:val="00120D2D"/>
    <w:rsid w:val="00121CBA"/>
    <w:rsid w:val="001259A5"/>
    <w:rsid w:val="0012643E"/>
    <w:rsid w:val="001354AE"/>
    <w:rsid w:val="00135615"/>
    <w:rsid w:val="00136645"/>
    <w:rsid w:val="00140981"/>
    <w:rsid w:val="001463C5"/>
    <w:rsid w:val="00154AD8"/>
    <w:rsid w:val="00172A27"/>
    <w:rsid w:val="00173A63"/>
    <w:rsid w:val="00176EDA"/>
    <w:rsid w:val="00181E13"/>
    <w:rsid w:val="00183A85"/>
    <w:rsid w:val="00183ED4"/>
    <w:rsid w:val="001A2259"/>
    <w:rsid w:val="001A2E26"/>
    <w:rsid w:val="001B3188"/>
    <w:rsid w:val="001C143E"/>
    <w:rsid w:val="001F0767"/>
    <w:rsid w:val="001F1D0F"/>
    <w:rsid w:val="001F368E"/>
    <w:rsid w:val="001F50D2"/>
    <w:rsid w:val="001F5BEF"/>
    <w:rsid w:val="001F62DE"/>
    <w:rsid w:val="001F70AB"/>
    <w:rsid w:val="00202E54"/>
    <w:rsid w:val="00203E87"/>
    <w:rsid w:val="00204744"/>
    <w:rsid w:val="00210510"/>
    <w:rsid w:val="00217A95"/>
    <w:rsid w:val="00224351"/>
    <w:rsid w:val="002329B3"/>
    <w:rsid w:val="002332FA"/>
    <w:rsid w:val="002350DA"/>
    <w:rsid w:val="002437EE"/>
    <w:rsid w:val="0024383E"/>
    <w:rsid w:val="00250A8B"/>
    <w:rsid w:val="00253ADC"/>
    <w:rsid w:val="00263A29"/>
    <w:rsid w:val="00274D49"/>
    <w:rsid w:val="00290BA3"/>
    <w:rsid w:val="002B1340"/>
    <w:rsid w:val="002B17C5"/>
    <w:rsid w:val="002B236D"/>
    <w:rsid w:val="002B3022"/>
    <w:rsid w:val="002B55D6"/>
    <w:rsid w:val="002B610C"/>
    <w:rsid w:val="002B7A7A"/>
    <w:rsid w:val="002D2573"/>
    <w:rsid w:val="002D4397"/>
    <w:rsid w:val="002E5A88"/>
    <w:rsid w:val="00301296"/>
    <w:rsid w:val="003051EF"/>
    <w:rsid w:val="003151F4"/>
    <w:rsid w:val="00316903"/>
    <w:rsid w:val="0032278A"/>
    <w:rsid w:val="00335B10"/>
    <w:rsid w:val="00335EC8"/>
    <w:rsid w:val="003463F3"/>
    <w:rsid w:val="00346CF1"/>
    <w:rsid w:val="00354BFB"/>
    <w:rsid w:val="00360D2A"/>
    <w:rsid w:val="003747B5"/>
    <w:rsid w:val="003765FB"/>
    <w:rsid w:val="00381B14"/>
    <w:rsid w:val="003868A5"/>
    <w:rsid w:val="00393560"/>
    <w:rsid w:val="003B3A8C"/>
    <w:rsid w:val="003B4249"/>
    <w:rsid w:val="003C5BC9"/>
    <w:rsid w:val="003E369F"/>
    <w:rsid w:val="003F2BC2"/>
    <w:rsid w:val="003F381F"/>
    <w:rsid w:val="003F62DC"/>
    <w:rsid w:val="0040607C"/>
    <w:rsid w:val="00423AB1"/>
    <w:rsid w:val="00435601"/>
    <w:rsid w:val="004441C7"/>
    <w:rsid w:val="0045324D"/>
    <w:rsid w:val="00453C67"/>
    <w:rsid w:val="0046049C"/>
    <w:rsid w:val="004645CA"/>
    <w:rsid w:val="0046590A"/>
    <w:rsid w:val="0047324B"/>
    <w:rsid w:val="004734BA"/>
    <w:rsid w:val="004747CB"/>
    <w:rsid w:val="004754DD"/>
    <w:rsid w:val="004761AA"/>
    <w:rsid w:val="0048325F"/>
    <w:rsid w:val="00485CF1"/>
    <w:rsid w:val="00487B2F"/>
    <w:rsid w:val="00497C9C"/>
    <w:rsid w:val="004B5763"/>
    <w:rsid w:val="004B6745"/>
    <w:rsid w:val="004B7EC1"/>
    <w:rsid w:val="004D52AA"/>
    <w:rsid w:val="004D77BC"/>
    <w:rsid w:val="004E032F"/>
    <w:rsid w:val="004E100D"/>
    <w:rsid w:val="004E37C0"/>
    <w:rsid w:val="004E5192"/>
    <w:rsid w:val="004E52F9"/>
    <w:rsid w:val="004E5780"/>
    <w:rsid w:val="005160BC"/>
    <w:rsid w:val="0052091C"/>
    <w:rsid w:val="00520E50"/>
    <w:rsid w:val="005276EC"/>
    <w:rsid w:val="00541123"/>
    <w:rsid w:val="00541B82"/>
    <w:rsid w:val="0055192C"/>
    <w:rsid w:val="005523FF"/>
    <w:rsid w:val="005573E1"/>
    <w:rsid w:val="00562D64"/>
    <w:rsid w:val="00564EF5"/>
    <w:rsid w:val="0057043B"/>
    <w:rsid w:val="0057584C"/>
    <w:rsid w:val="00584F62"/>
    <w:rsid w:val="00590DFB"/>
    <w:rsid w:val="005A05ED"/>
    <w:rsid w:val="005A76FC"/>
    <w:rsid w:val="005B00EA"/>
    <w:rsid w:val="005B267F"/>
    <w:rsid w:val="005D79D8"/>
    <w:rsid w:val="005F5E78"/>
    <w:rsid w:val="0060426D"/>
    <w:rsid w:val="0060568B"/>
    <w:rsid w:val="00615F18"/>
    <w:rsid w:val="0062077E"/>
    <w:rsid w:val="006416E1"/>
    <w:rsid w:val="0065601B"/>
    <w:rsid w:val="00661BA9"/>
    <w:rsid w:val="00666416"/>
    <w:rsid w:val="006679F7"/>
    <w:rsid w:val="0068555A"/>
    <w:rsid w:val="00686072"/>
    <w:rsid w:val="00690B30"/>
    <w:rsid w:val="006A6734"/>
    <w:rsid w:val="006A777A"/>
    <w:rsid w:val="006B049E"/>
    <w:rsid w:val="006B4E3D"/>
    <w:rsid w:val="006C4536"/>
    <w:rsid w:val="006C4D21"/>
    <w:rsid w:val="006C586D"/>
    <w:rsid w:val="006C7F35"/>
    <w:rsid w:val="006E0FB5"/>
    <w:rsid w:val="006E2D08"/>
    <w:rsid w:val="006E6C88"/>
    <w:rsid w:val="006F22DD"/>
    <w:rsid w:val="00702A72"/>
    <w:rsid w:val="00703C6A"/>
    <w:rsid w:val="00703DF3"/>
    <w:rsid w:val="00706C74"/>
    <w:rsid w:val="007100FD"/>
    <w:rsid w:val="00721966"/>
    <w:rsid w:val="00733BF2"/>
    <w:rsid w:val="00736987"/>
    <w:rsid w:val="00741E99"/>
    <w:rsid w:val="007513CD"/>
    <w:rsid w:val="00754E7D"/>
    <w:rsid w:val="007727CA"/>
    <w:rsid w:val="0078313E"/>
    <w:rsid w:val="00796FE0"/>
    <w:rsid w:val="007A1061"/>
    <w:rsid w:val="007A3784"/>
    <w:rsid w:val="007B1BD4"/>
    <w:rsid w:val="007D003C"/>
    <w:rsid w:val="007D316A"/>
    <w:rsid w:val="007D4704"/>
    <w:rsid w:val="007E1FF2"/>
    <w:rsid w:val="007F29C5"/>
    <w:rsid w:val="008009E9"/>
    <w:rsid w:val="008017B6"/>
    <w:rsid w:val="00803209"/>
    <w:rsid w:val="00806178"/>
    <w:rsid w:val="008065AF"/>
    <w:rsid w:val="00807829"/>
    <w:rsid w:val="008115B8"/>
    <w:rsid w:val="00820732"/>
    <w:rsid w:val="00830233"/>
    <w:rsid w:val="008454D3"/>
    <w:rsid w:val="00846617"/>
    <w:rsid w:val="008515C7"/>
    <w:rsid w:val="00861F75"/>
    <w:rsid w:val="00866C4C"/>
    <w:rsid w:val="00867AD1"/>
    <w:rsid w:val="008949B0"/>
    <w:rsid w:val="008B4BA3"/>
    <w:rsid w:val="008C215C"/>
    <w:rsid w:val="008D5F7A"/>
    <w:rsid w:val="008D710A"/>
    <w:rsid w:val="008F367D"/>
    <w:rsid w:val="00913A61"/>
    <w:rsid w:val="00913E6C"/>
    <w:rsid w:val="009152EA"/>
    <w:rsid w:val="00916AE4"/>
    <w:rsid w:val="00923826"/>
    <w:rsid w:val="00924788"/>
    <w:rsid w:val="0092530F"/>
    <w:rsid w:val="00933139"/>
    <w:rsid w:val="0094116C"/>
    <w:rsid w:val="009561F1"/>
    <w:rsid w:val="0096083F"/>
    <w:rsid w:val="00973288"/>
    <w:rsid w:val="0097545F"/>
    <w:rsid w:val="00981259"/>
    <w:rsid w:val="009948F3"/>
    <w:rsid w:val="00995389"/>
    <w:rsid w:val="009A4AD0"/>
    <w:rsid w:val="009B36E0"/>
    <w:rsid w:val="009C327E"/>
    <w:rsid w:val="009E4C59"/>
    <w:rsid w:val="009E5000"/>
    <w:rsid w:val="009F5A34"/>
    <w:rsid w:val="00A0710D"/>
    <w:rsid w:val="00A10518"/>
    <w:rsid w:val="00A10DCD"/>
    <w:rsid w:val="00A14E39"/>
    <w:rsid w:val="00A16F91"/>
    <w:rsid w:val="00A334E2"/>
    <w:rsid w:val="00A52DD6"/>
    <w:rsid w:val="00A573DE"/>
    <w:rsid w:val="00A61519"/>
    <w:rsid w:val="00A64FE5"/>
    <w:rsid w:val="00A66CE5"/>
    <w:rsid w:val="00A67F85"/>
    <w:rsid w:val="00A9489B"/>
    <w:rsid w:val="00A958B5"/>
    <w:rsid w:val="00A97BF0"/>
    <w:rsid w:val="00AA7971"/>
    <w:rsid w:val="00AC27FF"/>
    <w:rsid w:val="00AD56E3"/>
    <w:rsid w:val="00AF0EB7"/>
    <w:rsid w:val="00B018C4"/>
    <w:rsid w:val="00B3088F"/>
    <w:rsid w:val="00B33EF6"/>
    <w:rsid w:val="00B3558C"/>
    <w:rsid w:val="00B413A7"/>
    <w:rsid w:val="00B45E4A"/>
    <w:rsid w:val="00B46105"/>
    <w:rsid w:val="00B71BB4"/>
    <w:rsid w:val="00B80ABB"/>
    <w:rsid w:val="00B85025"/>
    <w:rsid w:val="00B86AF3"/>
    <w:rsid w:val="00B8779F"/>
    <w:rsid w:val="00B91A28"/>
    <w:rsid w:val="00B9444A"/>
    <w:rsid w:val="00BC1799"/>
    <w:rsid w:val="00BC71A3"/>
    <w:rsid w:val="00BD6646"/>
    <w:rsid w:val="00BD7DBB"/>
    <w:rsid w:val="00BE774E"/>
    <w:rsid w:val="00BF1209"/>
    <w:rsid w:val="00BF73B9"/>
    <w:rsid w:val="00C00BA4"/>
    <w:rsid w:val="00C04941"/>
    <w:rsid w:val="00C064FB"/>
    <w:rsid w:val="00C17144"/>
    <w:rsid w:val="00C30C0C"/>
    <w:rsid w:val="00C314B1"/>
    <w:rsid w:val="00C34B5C"/>
    <w:rsid w:val="00C35EDD"/>
    <w:rsid w:val="00C36BE0"/>
    <w:rsid w:val="00C36C5D"/>
    <w:rsid w:val="00C40081"/>
    <w:rsid w:val="00C620CC"/>
    <w:rsid w:val="00C64E3B"/>
    <w:rsid w:val="00C8169E"/>
    <w:rsid w:val="00C8663A"/>
    <w:rsid w:val="00C95934"/>
    <w:rsid w:val="00CA5155"/>
    <w:rsid w:val="00CA7197"/>
    <w:rsid w:val="00CC3C14"/>
    <w:rsid w:val="00CE6115"/>
    <w:rsid w:val="00D1258D"/>
    <w:rsid w:val="00D16308"/>
    <w:rsid w:val="00D270E8"/>
    <w:rsid w:val="00D3096A"/>
    <w:rsid w:val="00D31B33"/>
    <w:rsid w:val="00D33BA0"/>
    <w:rsid w:val="00D454B8"/>
    <w:rsid w:val="00D60E89"/>
    <w:rsid w:val="00D66498"/>
    <w:rsid w:val="00D66979"/>
    <w:rsid w:val="00D66D7A"/>
    <w:rsid w:val="00D74B89"/>
    <w:rsid w:val="00D8240F"/>
    <w:rsid w:val="00D9414A"/>
    <w:rsid w:val="00DA3184"/>
    <w:rsid w:val="00DC49D2"/>
    <w:rsid w:val="00DC568F"/>
    <w:rsid w:val="00DD4BBA"/>
    <w:rsid w:val="00DE6B63"/>
    <w:rsid w:val="00E011E3"/>
    <w:rsid w:val="00E02111"/>
    <w:rsid w:val="00E024D6"/>
    <w:rsid w:val="00E036FE"/>
    <w:rsid w:val="00E07916"/>
    <w:rsid w:val="00E13345"/>
    <w:rsid w:val="00E179CC"/>
    <w:rsid w:val="00E2368E"/>
    <w:rsid w:val="00E2394B"/>
    <w:rsid w:val="00E45567"/>
    <w:rsid w:val="00E45661"/>
    <w:rsid w:val="00E51631"/>
    <w:rsid w:val="00E52B3A"/>
    <w:rsid w:val="00E5582A"/>
    <w:rsid w:val="00E61907"/>
    <w:rsid w:val="00E67506"/>
    <w:rsid w:val="00E779B8"/>
    <w:rsid w:val="00E80DE0"/>
    <w:rsid w:val="00E93C87"/>
    <w:rsid w:val="00E97C90"/>
    <w:rsid w:val="00EA1D3D"/>
    <w:rsid w:val="00EB65FB"/>
    <w:rsid w:val="00EC627B"/>
    <w:rsid w:val="00ED6837"/>
    <w:rsid w:val="00EF23D8"/>
    <w:rsid w:val="00F07107"/>
    <w:rsid w:val="00F109E0"/>
    <w:rsid w:val="00F234CD"/>
    <w:rsid w:val="00F3053A"/>
    <w:rsid w:val="00F316DC"/>
    <w:rsid w:val="00F356BA"/>
    <w:rsid w:val="00F35BDA"/>
    <w:rsid w:val="00F422B8"/>
    <w:rsid w:val="00F472CE"/>
    <w:rsid w:val="00F476C1"/>
    <w:rsid w:val="00F52781"/>
    <w:rsid w:val="00F56989"/>
    <w:rsid w:val="00F60922"/>
    <w:rsid w:val="00F61FBA"/>
    <w:rsid w:val="00F71A89"/>
    <w:rsid w:val="00F735CF"/>
    <w:rsid w:val="00F80281"/>
    <w:rsid w:val="00F816FE"/>
    <w:rsid w:val="00F938BA"/>
    <w:rsid w:val="00F96446"/>
    <w:rsid w:val="00F96725"/>
    <w:rsid w:val="00FB39BD"/>
    <w:rsid w:val="00FB4A4B"/>
    <w:rsid w:val="00FB6B98"/>
    <w:rsid w:val="00FC7B50"/>
    <w:rsid w:val="00FF2723"/>
    <w:rsid w:val="00FF5928"/>
    <w:rsid w:val="00FF69A0"/>
    <w:rsid w:val="4F0A4CD3"/>
    <w:rsid w:val="5A8818A3"/>
    <w:rsid w:val="606631BD"/>
    <w:rsid w:val="71B62C48"/>
    <w:rsid w:val="742A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8"/>
    <w:uiPriority w:val="0"/>
    <w:rPr>
      <w:sz w:val="20"/>
    </w:rPr>
  </w:style>
  <w:style w:type="paragraph" w:styleId="5">
    <w:name w:val="Balloon Text"/>
    <w:basedOn w:val="1"/>
    <w:link w:val="16"/>
    <w:uiPriority w:val="0"/>
    <w:rPr>
      <w:sz w:val="18"/>
      <w:szCs w:val="18"/>
    </w:rPr>
  </w:style>
  <w:style w:type="paragraph" w:styleId="6">
    <w:name w:val="footer"/>
    <w:basedOn w:val="1"/>
    <w:link w:val="14"/>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4"/>
    <w:next w:val="4"/>
    <w:link w:val="19"/>
    <w:uiPriority w:val="0"/>
    <w:rPr>
      <w:b/>
      <w:bCs/>
    </w:rPr>
  </w:style>
  <w:style w:type="character" w:styleId="12">
    <w:name w:val="page number"/>
    <w:basedOn w:val="11"/>
    <w:qFormat/>
    <w:uiPriority w:val="0"/>
  </w:style>
  <w:style w:type="character" w:styleId="13">
    <w:name w:val="annotation reference"/>
    <w:uiPriority w:val="0"/>
    <w:rPr>
      <w:sz w:val="16"/>
      <w:szCs w:val="16"/>
    </w:rPr>
  </w:style>
  <w:style w:type="character" w:customStyle="1" w:styleId="14">
    <w:name w:val="页脚 Char"/>
    <w:link w:val="6"/>
    <w:uiPriority w:val="99"/>
    <w:rPr>
      <w:kern w:val="2"/>
      <w:sz w:val="18"/>
    </w:rPr>
  </w:style>
  <w:style w:type="character" w:customStyle="1" w:styleId="15">
    <w:name w:val="标题 1 Char"/>
    <w:link w:val="2"/>
    <w:qFormat/>
    <w:uiPriority w:val="0"/>
    <w:rPr>
      <w:rFonts w:eastAsia="宋体"/>
      <w:b/>
      <w:bCs/>
      <w:kern w:val="44"/>
      <w:sz w:val="44"/>
      <w:szCs w:val="44"/>
      <w:lang w:val="en-US" w:eastAsia="zh-CN" w:bidi="ar-SA"/>
    </w:rPr>
  </w:style>
  <w:style w:type="character" w:customStyle="1" w:styleId="16">
    <w:name w:val="批注框文本 Char"/>
    <w:link w:val="5"/>
    <w:uiPriority w:val="0"/>
    <w:rPr>
      <w:kern w:val="2"/>
      <w:sz w:val="18"/>
      <w:szCs w:val="18"/>
    </w:rPr>
  </w:style>
  <w:style w:type="character" w:customStyle="1" w:styleId="17">
    <w:name w:val="标题 3 Char"/>
    <w:link w:val="3"/>
    <w:uiPriority w:val="0"/>
    <w:rPr>
      <w:b/>
      <w:bCs/>
      <w:kern w:val="2"/>
      <w:sz w:val="32"/>
      <w:szCs w:val="32"/>
    </w:rPr>
  </w:style>
  <w:style w:type="character" w:customStyle="1" w:styleId="18">
    <w:name w:val="批注文字 Char"/>
    <w:link w:val="4"/>
    <w:qFormat/>
    <w:uiPriority w:val="0"/>
    <w:rPr>
      <w:kern w:val="2"/>
    </w:rPr>
  </w:style>
  <w:style w:type="character" w:customStyle="1" w:styleId="19">
    <w:name w:val="批注主题 Char"/>
    <w:link w:val="9"/>
    <w:uiPriority w:val="0"/>
    <w:rPr>
      <w:b/>
      <w:bCs/>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sse</Company>
  <Pages>1</Pages>
  <Words>251</Words>
  <Characters>1432</Characters>
  <Lines>11</Lines>
  <Paragraphs>3</Paragraphs>
  <TotalTime>16</TotalTime>
  <ScaleCrop>false</ScaleCrop>
  <LinksUpToDate>false</LinksUpToDate>
  <CharactersWithSpaces>1680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2022-01-10T00:21:00Z</dcterms:created>
  <dc:creator>user</dc:creator>
  <cp:lastModifiedBy>李大鹏</cp:lastModifiedBy>
  <cp:lastPrinted>2022-01-10T07:03:37Z</cp:lastPrinted>
  <dcterms:modified xsi:type="dcterms:W3CDTF">2022-01-10T07:04:10Z</dcterms:modified>
  <dc:title>第二十二号 上市公司重大事项停牌公告</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