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11"/>
        </w:tabs>
        <w:spacing w:line="460" w:lineRule="exact"/>
        <w:rPr>
          <w:rFonts w:ascii="宋体" w:hAnsi="宋体"/>
          <w:b/>
          <w:szCs w:val="21"/>
        </w:rPr>
      </w:pPr>
      <w:bookmarkStart w:id="0" w:name="_GoBack"/>
      <w:bookmarkEnd w:id="0"/>
      <w:r>
        <w:rPr>
          <w:rFonts w:hint="eastAsia" w:ascii="宋体" w:hAnsi="宋体"/>
          <w:b/>
          <w:szCs w:val="21"/>
        </w:rPr>
        <w:t>公告编号：临2022-006</w:t>
      </w:r>
    </w:p>
    <w:p>
      <w:pPr>
        <w:spacing w:line="460" w:lineRule="exact"/>
        <w:rPr>
          <w:rFonts w:ascii="宋体" w:hAnsi="宋体"/>
          <w:b/>
          <w:szCs w:val="21"/>
        </w:rPr>
      </w:pPr>
      <w:r>
        <w:rPr>
          <w:rFonts w:hint="eastAsia" w:ascii="宋体" w:hAnsi="宋体"/>
          <w:b/>
          <w:szCs w:val="21"/>
        </w:rPr>
        <w:t xml:space="preserve">A股代码： 601166             </w:t>
      </w:r>
      <w:r>
        <w:rPr>
          <w:rFonts w:ascii="宋体" w:hAnsi="宋体"/>
          <w:b/>
          <w:szCs w:val="21"/>
        </w:rPr>
        <w:t xml:space="preserve"> </w:t>
      </w:r>
      <w:r>
        <w:rPr>
          <w:rFonts w:hint="eastAsia" w:ascii="宋体" w:hAnsi="宋体"/>
          <w:b/>
          <w:szCs w:val="21"/>
        </w:rPr>
        <w:t xml:space="preserve">         A股简称：兴业银行        </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  </w:t>
      </w:r>
      <w:r>
        <w:rPr>
          <w:rFonts w:hint="eastAsia" w:ascii="宋体" w:hAnsi="宋体"/>
          <w:b/>
          <w:szCs w:val="21"/>
        </w:rPr>
        <w:t xml:space="preserve"> </w:t>
      </w:r>
    </w:p>
    <w:p>
      <w:pPr>
        <w:spacing w:line="460" w:lineRule="exact"/>
        <w:jc w:val="left"/>
        <w:rPr>
          <w:rFonts w:ascii="宋体" w:hAnsi="宋体"/>
          <w:b/>
          <w:szCs w:val="21"/>
        </w:rPr>
      </w:pPr>
      <w:r>
        <w:rPr>
          <w:rFonts w:hint="eastAsia" w:ascii="宋体" w:hAnsi="宋体"/>
          <w:b/>
          <w:szCs w:val="21"/>
        </w:rPr>
        <w:t>优先股代码：360005、360012、360032     优先股简称：兴业优1、兴业优2、兴业优3</w:t>
      </w:r>
    </w:p>
    <w:p>
      <w:pPr>
        <w:spacing w:line="460" w:lineRule="exact"/>
        <w:jc w:val="left"/>
        <w:rPr>
          <w:rFonts w:ascii="宋体" w:hAnsi="宋体"/>
          <w:b/>
          <w:szCs w:val="21"/>
        </w:rPr>
      </w:pPr>
      <w:r>
        <w:rPr>
          <w:rFonts w:hint="eastAsia" w:ascii="宋体" w:hAnsi="宋体"/>
          <w:b/>
          <w:szCs w:val="21"/>
        </w:rPr>
        <w:t>可转债代码：113052                     可转债简称：兴业转债</w:t>
      </w:r>
    </w:p>
    <w:p>
      <w:pPr>
        <w:jc w:val="left"/>
        <w:rPr>
          <w:rFonts w:ascii="宋体" w:hAnsi="宋体"/>
          <w:b/>
          <w:szCs w:val="21"/>
        </w:rPr>
      </w:pPr>
    </w:p>
    <w:p>
      <w:pPr>
        <w:spacing w:line="360" w:lineRule="auto"/>
        <w:jc w:val="center"/>
        <w:rPr>
          <w:rFonts w:ascii="黑体" w:eastAsia="黑体"/>
          <w:color w:val="FF0000"/>
          <w:sz w:val="36"/>
          <w:szCs w:val="36"/>
        </w:rPr>
      </w:pPr>
      <w:r>
        <w:rPr>
          <w:rFonts w:hint="eastAsia" w:ascii="黑体" w:eastAsia="黑体"/>
          <w:color w:val="FF0000"/>
          <w:sz w:val="36"/>
          <w:szCs w:val="36"/>
        </w:rPr>
        <w:t>兴业银行股份有限公司</w:t>
      </w:r>
    </w:p>
    <w:p>
      <w:pPr>
        <w:jc w:val="center"/>
        <w:rPr>
          <w:rFonts w:ascii="黑体" w:eastAsia="黑体"/>
          <w:color w:val="FF0000"/>
          <w:sz w:val="36"/>
          <w:szCs w:val="36"/>
        </w:rPr>
      </w:pPr>
      <w:r>
        <w:rPr>
          <w:rFonts w:hint="eastAsia" w:ascii="黑体" w:eastAsia="黑体"/>
          <w:color w:val="FF0000"/>
          <w:sz w:val="36"/>
          <w:szCs w:val="36"/>
        </w:rPr>
        <w:t>关于</w:t>
      </w:r>
      <w:r>
        <w:rPr>
          <w:rFonts w:ascii="黑体" w:eastAsia="黑体"/>
          <w:color w:val="FF0000"/>
          <w:sz w:val="36"/>
          <w:szCs w:val="36"/>
        </w:rPr>
        <w:t>董事任职的</w:t>
      </w:r>
      <w:r>
        <w:rPr>
          <w:rFonts w:hint="eastAsia" w:ascii="黑体" w:eastAsia="黑体"/>
          <w:color w:val="FF0000"/>
          <w:sz w:val="36"/>
          <w:szCs w:val="36"/>
        </w:rPr>
        <w:t>公告</w:t>
      </w:r>
    </w:p>
    <w:p>
      <w:pPr>
        <w:spacing w:line="360" w:lineRule="auto"/>
        <w:ind w:firstLine="570"/>
        <w:rPr>
          <w:rFonts w:ascii="宋体" w:hAnsi="宋体"/>
          <w:sz w:val="24"/>
        </w:rPr>
      </w:pPr>
    </w:p>
    <w:p>
      <w:pPr>
        <w:spacing w:line="360" w:lineRule="auto"/>
        <w:ind w:firstLine="480" w:firstLineChars="200"/>
        <w:rPr>
          <w:rFonts w:ascii="宋体" w:hAnsi="宋体"/>
          <w:sz w:val="24"/>
        </w:rPr>
      </w:pPr>
      <w:r>
        <w:rPr>
          <w:rFonts w:hint="eastAsia" w:ascii="宋体" w:hAnsi="宋体"/>
          <w:sz w:val="24"/>
        </w:rPr>
        <w:t>本公司董事会及全体董事保证本公告内容不存在任何虚假记载、误导性陈述或者重大遗漏，并对其内容的真实性、准确性和完整性承担个别及连带责任。</w:t>
      </w:r>
    </w:p>
    <w:p>
      <w:pPr>
        <w:spacing w:line="360" w:lineRule="auto"/>
        <w:ind w:firstLine="570"/>
        <w:rPr>
          <w:rFonts w:ascii="宋体" w:hAnsi="宋体"/>
          <w:sz w:val="24"/>
        </w:rPr>
      </w:pPr>
    </w:p>
    <w:p>
      <w:pPr>
        <w:pStyle w:val="14"/>
        <w:spacing w:line="420" w:lineRule="exact"/>
        <w:ind w:firstLine="480" w:firstLineChars="200"/>
        <w:jc w:val="both"/>
        <w:rPr>
          <w:rFonts w:hAnsi="宋体"/>
        </w:rPr>
      </w:pPr>
      <w:r>
        <w:rPr>
          <w:rFonts w:hAnsi="宋体"/>
        </w:rPr>
        <w:t>兴业银行股份有限公司（以下简称本公司）于</w:t>
      </w:r>
      <w:r>
        <w:rPr>
          <w:rFonts w:hint="eastAsia" w:hAnsi="宋体"/>
        </w:rPr>
        <w:t>1月29日收到《中国银保监会关于兴业银行王红梅任职资格的批复》（银保监复〔2022</w:t>
      </w:r>
      <w:r>
        <w:rPr>
          <w:rFonts w:hAnsi="宋体"/>
        </w:rPr>
        <w:t>〕</w:t>
      </w:r>
      <w:r>
        <w:rPr>
          <w:rFonts w:hint="eastAsia" w:hAnsi="宋体"/>
        </w:rPr>
        <w:t>64号），中国银保监会已</w:t>
      </w:r>
      <w:r>
        <w:rPr>
          <w:rFonts w:hAnsi="宋体"/>
          <w:szCs w:val="21"/>
        </w:rPr>
        <w:t>核准</w:t>
      </w:r>
      <w:r>
        <w:rPr>
          <w:rFonts w:hint="eastAsia" w:hAnsi="宋体"/>
        </w:rPr>
        <w:t>王红梅</w:t>
      </w:r>
      <w:r>
        <w:rPr>
          <w:rFonts w:hint="eastAsia" w:hAnsi="宋体"/>
          <w:szCs w:val="21"/>
        </w:rPr>
        <w:t>女士担任本公司独立</w:t>
      </w:r>
      <w:r>
        <w:rPr>
          <w:rFonts w:hAnsi="宋体"/>
          <w:szCs w:val="21"/>
        </w:rPr>
        <w:t>董事的任职资格。根据相关规定，</w:t>
      </w:r>
      <w:r>
        <w:rPr>
          <w:rFonts w:hint="eastAsia" w:hAnsi="宋体"/>
        </w:rPr>
        <w:t>王红梅</w:t>
      </w:r>
      <w:r>
        <w:rPr>
          <w:rFonts w:hint="eastAsia" w:hAnsi="宋体"/>
          <w:szCs w:val="21"/>
        </w:rPr>
        <w:t>女士</w:t>
      </w:r>
      <w:r>
        <w:rPr>
          <w:rFonts w:hAnsi="宋体"/>
          <w:szCs w:val="21"/>
        </w:rPr>
        <w:t>自202</w:t>
      </w:r>
      <w:r>
        <w:rPr>
          <w:rFonts w:hint="eastAsia" w:hAnsi="宋体"/>
          <w:szCs w:val="21"/>
        </w:rPr>
        <w:t>2</w:t>
      </w:r>
      <w:r>
        <w:rPr>
          <w:rFonts w:hAnsi="宋体"/>
          <w:szCs w:val="21"/>
        </w:rPr>
        <w:t>年</w:t>
      </w:r>
      <w:r>
        <w:rPr>
          <w:rFonts w:hint="eastAsia" w:hAnsi="宋体"/>
          <w:szCs w:val="21"/>
        </w:rPr>
        <w:t>1</w:t>
      </w:r>
      <w:r>
        <w:rPr>
          <w:rFonts w:hAnsi="宋体"/>
          <w:szCs w:val="21"/>
        </w:rPr>
        <w:t>月</w:t>
      </w:r>
      <w:r>
        <w:rPr>
          <w:rFonts w:hint="eastAsia" w:hAnsi="宋体"/>
          <w:szCs w:val="21"/>
        </w:rPr>
        <w:t>25</w:t>
      </w:r>
      <w:r>
        <w:rPr>
          <w:rFonts w:hAnsi="宋体"/>
          <w:szCs w:val="21"/>
        </w:rPr>
        <w:t>日</w:t>
      </w:r>
      <w:r>
        <w:rPr>
          <w:rFonts w:hint="eastAsia" w:hAnsi="宋体"/>
          <w:szCs w:val="21"/>
        </w:rPr>
        <w:t>起</w:t>
      </w:r>
      <w:r>
        <w:rPr>
          <w:rFonts w:hAnsi="宋体"/>
          <w:szCs w:val="21"/>
        </w:rPr>
        <w:t>就任本公司</w:t>
      </w:r>
      <w:r>
        <w:rPr>
          <w:rFonts w:hint="eastAsia" w:hAnsi="宋体"/>
          <w:szCs w:val="21"/>
        </w:rPr>
        <w:t>独立</w:t>
      </w:r>
      <w:r>
        <w:rPr>
          <w:rFonts w:hAnsi="宋体"/>
          <w:szCs w:val="21"/>
        </w:rPr>
        <w:t>董事。</w:t>
      </w:r>
      <w:r>
        <w:rPr>
          <w:rFonts w:hint="eastAsia" w:hAnsi="宋体"/>
        </w:rPr>
        <w:t>王红梅</w:t>
      </w:r>
      <w:r>
        <w:rPr>
          <w:rFonts w:hint="eastAsia" w:hAnsi="宋体"/>
          <w:szCs w:val="21"/>
        </w:rPr>
        <w:t>女士</w:t>
      </w:r>
      <w:r>
        <w:rPr>
          <w:rFonts w:hint="eastAsia" w:hAnsi="宋体"/>
        </w:rPr>
        <w:t>简历详见2021年10月29日刊载于上海证券交易所网站(www.sse.com.cn)的《兴业银行股份有限公司第十届董事会第三次会议决议公告》。</w:t>
      </w:r>
    </w:p>
    <w:p>
      <w:pPr>
        <w:spacing w:line="360" w:lineRule="auto"/>
        <w:ind w:firstLine="480" w:firstLineChars="200"/>
        <w:rPr>
          <w:rFonts w:ascii="宋体" w:hAnsi="宋体"/>
          <w:color w:val="000000"/>
          <w:sz w:val="24"/>
        </w:rPr>
      </w:pPr>
      <w:r>
        <w:rPr>
          <w:rFonts w:hint="eastAsia" w:ascii="宋体" w:hAnsi="宋体"/>
          <w:sz w:val="24"/>
        </w:rPr>
        <w:t>按照上市公司董事会成员中应当至少包括三分之一独立董事的监管规定，此前递交辞职函的独立董事林华先生任期相应在2022年1月25日结束。</w:t>
      </w:r>
      <w:r>
        <w:rPr>
          <w:rFonts w:hint="eastAsia" w:ascii="宋体" w:hAnsi="宋体"/>
          <w:color w:val="000000"/>
          <w:sz w:val="24"/>
        </w:rPr>
        <w:t xml:space="preserve">林华先生在担任本公司董事期间，认真履行职责，勤勉尽责。本公司董事会对林华先生在任职期间做出的贡献表示衷心感谢！ </w:t>
      </w:r>
    </w:p>
    <w:p>
      <w:pPr>
        <w:pStyle w:val="14"/>
        <w:spacing w:line="360" w:lineRule="auto"/>
        <w:ind w:firstLine="480"/>
        <w:rPr>
          <w:rFonts w:hAnsi="宋体" w:cs="Times New Roman"/>
          <w:kern w:val="2"/>
        </w:rPr>
      </w:pPr>
      <w:r>
        <w:rPr>
          <w:rFonts w:hint="eastAsia" w:hAnsi="宋体" w:cs="Times New Roman"/>
          <w:kern w:val="2"/>
        </w:rPr>
        <w:t>特此公告。</w:t>
      </w:r>
    </w:p>
    <w:p>
      <w:pPr>
        <w:pStyle w:val="14"/>
        <w:spacing w:line="360" w:lineRule="auto"/>
        <w:ind w:firstLine="480"/>
        <w:rPr>
          <w:rFonts w:hAnsi="宋体" w:cs="Times New Roman"/>
          <w:kern w:val="2"/>
        </w:rPr>
      </w:pPr>
    </w:p>
    <w:p>
      <w:pPr>
        <w:pStyle w:val="14"/>
        <w:spacing w:line="360" w:lineRule="auto"/>
        <w:rPr>
          <w:rFonts w:hAnsi="宋体" w:cs="Times New Roman"/>
          <w:kern w:val="2"/>
        </w:rPr>
      </w:pPr>
      <w:r>
        <w:rPr>
          <w:rFonts w:hint="eastAsia" w:hAnsi="宋体" w:cs="Times New Roman"/>
          <w:kern w:val="2"/>
        </w:rPr>
        <w:t xml:space="preserve">                                          兴业银行股份有限公司董事会</w:t>
      </w:r>
      <w:r>
        <w:rPr>
          <w:rFonts w:hAnsi="宋体" w:cs="Times New Roman"/>
          <w:kern w:val="2"/>
        </w:rPr>
        <w:t xml:space="preserve"> </w:t>
      </w:r>
    </w:p>
    <w:p>
      <w:pPr>
        <w:pStyle w:val="14"/>
        <w:spacing w:line="360" w:lineRule="auto"/>
        <w:ind w:firstLine="5760" w:firstLineChars="2400"/>
        <w:rPr>
          <w:rFonts w:hAnsi="宋体" w:cs="Times New Roman"/>
          <w:kern w:val="2"/>
        </w:rPr>
      </w:pPr>
      <w:r>
        <w:rPr>
          <w:rFonts w:hAnsi="宋体" w:cs="Times New Roman"/>
          <w:kern w:val="2"/>
        </w:rPr>
        <w:t>20</w:t>
      </w:r>
      <w:r>
        <w:rPr>
          <w:rFonts w:hint="eastAsia" w:hAnsi="宋体" w:cs="Times New Roman"/>
          <w:kern w:val="2"/>
        </w:rPr>
        <w:t>22年2月7日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75558"/>
      <w:showingPlcHdr/>
    </w:sdtPr>
    <w:sdtContent>
      <w:p>
        <w:pPr>
          <w:pStyle w:val="5"/>
          <w:jc w:val="center"/>
        </w:pPr>
        <w:r>
          <w:t xml:space="preserve">     </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A26"/>
    <w:rsid w:val="000119AC"/>
    <w:rsid w:val="0002434D"/>
    <w:rsid w:val="00025F1A"/>
    <w:rsid w:val="00030027"/>
    <w:rsid w:val="0003744C"/>
    <w:rsid w:val="000468B0"/>
    <w:rsid w:val="00055532"/>
    <w:rsid w:val="00074D03"/>
    <w:rsid w:val="000B4746"/>
    <w:rsid w:val="0010193E"/>
    <w:rsid w:val="0011172C"/>
    <w:rsid w:val="001404C3"/>
    <w:rsid w:val="00172A27"/>
    <w:rsid w:val="00192164"/>
    <w:rsid w:val="001C2006"/>
    <w:rsid w:val="001D30EE"/>
    <w:rsid w:val="00231BA6"/>
    <w:rsid w:val="00231BEA"/>
    <w:rsid w:val="00242084"/>
    <w:rsid w:val="00272A6D"/>
    <w:rsid w:val="00280A00"/>
    <w:rsid w:val="002E2758"/>
    <w:rsid w:val="002E41FC"/>
    <w:rsid w:val="0032754F"/>
    <w:rsid w:val="0033234A"/>
    <w:rsid w:val="00362BC5"/>
    <w:rsid w:val="0036325C"/>
    <w:rsid w:val="00385A88"/>
    <w:rsid w:val="003A1E05"/>
    <w:rsid w:val="003B0A84"/>
    <w:rsid w:val="003B6D09"/>
    <w:rsid w:val="003C3569"/>
    <w:rsid w:val="003E79CF"/>
    <w:rsid w:val="003E7CDF"/>
    <w:rsid w:val="00403288"/>
    <w:rsid w:val="00417352"/>
    <w:rsid w:val="004A4624"/>
    <w:rsid w:val="004C0D70"/>
    <w:rsid w:val="004E3F9C"/>
    <w:rsid w:val="00510019"/>
    <w:rsid w:val="00514206"/>
    <w:rsid w:val="0051581C"/>
    <w:rsid w:val="005171FC"/>
    <w:rsid w:val="00536A73"/>
    <w:rsid w:val="00570B32"/>
    <w:rsid w:val="00593BE2"/>
    <w:rsid w:val="005E4D2C"/>
    <w:rsid w:val="005E556A"/>
    <w:rsid w:val="005E56E7"/>
    <w:rsid w:val="00612E89"/>
    <w:rsid w:val="00614053"/>
    <w:rsid w:val="00623F75"/>
    <w:rsid w:val="00642394"/>
    <w:rsid w:val="00666124"/>
    <w:rsid w:val="006A2189"/>
    <w:rsid w:val="006C11D7"/>
    <w:rsid w:val="006C5236"/>
    <w:rsid w:val="006E0102"/>
    <w:rsid w:val="00705281"/>
    <w:rsid w:val="00716A8C"/>
    <w:rsid w:val="007411F2"/>
    <w:rsid w:val="0074436D"/>
    <w:rsid w:val="007829F9"/>
    <w:rsid w:val="007D5B74"/>
    <w:rsid w:val="00814E68"/>
    <w:rsid w:val="00815E46"/>
    <w:rsid w:val="008308D6"/>
    <w:rsid w:val="00847C7B"/>
    <w:rsid w:val="008506C5"/>
    <w:rsid w:val="008513A9"/>
    <w:rsid w:val="00871ECE"/>
    <w:rsid w:val="008914D5"/>
    <w:rsid w:val="008A0AFB"/>
    <w:rsid w:val="008B04A1"/>
    <w:rsid w:val="008B513D"/>
    <w:rsid w:val="008C6F8D"/>
    <w:rsid w:val="008D30B2"/>
    <w:rsid w:val="00905083"/>
    <w:rsid w:val="0090688A"/>
    <w:rsid w:val="0094160E"/>
    <w:rsid w:val="009F2FE5"/>
    <w:rsid w:val="00A01F86"/>
    <w:rsid w:val="00A1176A"/>
    <w:rsid w:val="00A16E63"/>
    <w:rsid w:val="00A50B64"/>
    <w:rsid w:val="00A62E26"/>
    <w:rsid w:val="00A83B50"/>
    <w:rsid w:val="00A91F0B"/>
    <w:rsid w:val="00A9395B"/>
    <w:rsid w:val="00A94157"/>
    <w:rsid w:val="00AA3BB1"/>
    <w:rsid w:val="00AC3867"/>
    <w:rsid w:val="00AF282E"/>
    <w:rsid w:val="00AF6A68"/>
    <w:rsid w:val="00B52CBD"/>
    <w:rsid w:val="00B6711E"/>
    <w:rsid w:val="00BC0F4D"/>
    <w:rsid w:val="00BC2C40"/>
    <w:rsid w:val="00BD70F6"/>
    <w:rsid w:val="00BD7DD8"/>
    <w:rsid w:val="00BE06E3"/>
    <w:rsid w:val="00BF3F51"/>
    <w:rsid w:val="00C102EC"/>
    <w:rsid w:val="00C2063D"/>
    <w:rsid w:val="00C550A4"/>
    <w:rsid w:val="00C74FED"/>
    <w:rsid w:val="00C75679"/>
    <w:rsid w:val="00C75C33"/>
    <w:rsid w:val="00C86DF9"/>
    <w:rsid w:val="00C903C3"/>
    <w:rsid w:val="00C9046D"/>
    <w:rsid w:val="00C95FA3"/>
    <w:rsid w:val="00CB3017"/>
    <w:rsid w:val="00CB7050"/>
    <w:rsid w:val="00CD6A4B"/>
    <w:rsid w:val="00D671BA"/>
    <w:rsid w:val="00D9715E"/>
    <w:rsid w:val="00DD45DC"/>
    <w:rsid w:val="00DE5DA5"/>
    <w:rsid w:val="00E12988"/>
    <w:rsid w:val="00E1387A"/>
    <w:rsid w:val="00E1763D"/>
    <w:rsid w:val="00E36841"/>
    <w:rsid w:val="00E420CD"/>
    <w:rsid w:val="00E469C2"/>
    <w:rsid w:val="00E81B6E"/>
    <w:rsid w:val="00EA48F1"/>
    <w:rsid w:val="00EB30A4"/>
    <w:rsid w:val="00EC11A9"/>
    <w:rsid w:val="00EF3336"/>
    <w:rsid w:val="00EF5704"/>
    <w:rsid w:val="00F55C2F"/>
    <w:rsid w:val="00F67B86"/>
    <w:rsid w:val="00F84ADF"/>
    <w:rsid w:val="00F931A3"/>
    <w:rsid w:val="00FA0E96"/>
    <w:rsid w:val="00FA7FAF"/>
    <w:rsid w:val="00FB4061"/>
    <w:rsid w:val="00FC2F72"/>
    <w:rsid w:val="00FF6C86"/>
    <w:rsid w:val="02E33403"/>
    <w:rsid w:val="07E4653C"/>
    <w:rsid w:val="122511FB"/>
    <w:rsid w:val="1F3A207D"/>
    <w:rsid w:val="39DC3E01"/>
    <w:rsid w:val="3FB738AB"/>
    <w:rsid w:val="54D23459"/>
    <w:rsid w:val="57395364"/>
    <w:rsid w:val="5B4C4811"/>
    <w:rsid w:val="60AC1290"/>
    <w:rsid w:val="697B5879"/>
    <w:rsid w:val="6F3C3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Date"/>
    <w:basedOn w:val="1"/>
    <w:next w:val="1"/>
    <w:link w:val="18"/>
    <w:qFormat/>
    <w:uiPriority w:val="0"/>
    <w:pPr>
      <w:ind w:left="100" w:leftChars="2500"/>
    </w:pPr>
    <w:rPr>
      <w:rFonts w:ascii="Times New Roman" w:hAnsi="Times New Roman"/>
      <w:szCs w:val="24"/>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7"/>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qFormat/>
    <w:uiPriority w:val="99"/>
    <w:rPr>
      <w:kern w:val="2"/>
      <w:sz w:val="18"/>
      <w:szCs w:val="18"/>
    </w:rPr>
  </w:style>
  <w:style w:type="character" w:customStyle="1" w:styleId="13">
    <w:name w:val="页脚 Char"/>
    <w:basedOn w:val="10"/>
    <w:link w:val="5"/>
    <w:qFormat/>
    <w:uiPriority w:val="99"/>
    <w:rPr>
      <w:kern w:val="2"/>
      <w:sz w:val="18"/>
      <w:szCs w:val="18"/>
    </w:rPr>
  </w:style>
  <w:style w:type="paragraph" w:customStyle="1" w:styleId="1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5">
    <w:name w:val="批注框文本 Char"/>
    <w:basedOn w:val="10"/>
    <w:link w:val="4"/>
    <w:semiHidden/>
    <w:qFormat/>
    <w:uiPriority w:val="99"/>
    <w:rPr>
      <w:kern w:val="2"/>
      <w:sz w:val="18"/>
      <w:szCs w:val="18"/>
    </w:rPr>
  </w:style>
  <w:style w:type="character" w:customStyle="1" w:styleId="16">
    <w:name w:val="批注文字 Char"/>
    <w:basedOn w:val="10"/>
    <w:link w:val="2"/>
    <w:semiHidden/>
    <w:qFormat/>
    <w:uiPriority w:val="99"/>
    <w:rPr>
      <w:kern w:val="2"/>
      <w:sz w:val="21"/>
      <w:szCs w:val="22"/>
    </w:rPr>
  </w:style>
  <w:style w:type="character" w:customStyle="1" w:styleId="17">
    <w:name w:val="批注主题 Char"/>
    <w:basedOn w:val="16"/>
    <w:link w:val="8"/>
    <w:semiHidden/>
    <w:qFormat/>
    <w:uiPriority w:val="99"/>
    <w:rPr>
      <w:b/>
      <w:bCs/>
      <w:kern w:val="2"/>
      <w:sz w:val="21"/>
      <w:szCs w:val="22"/>
    </w:rPr>
  </w:style>
  <w:style w:type="character" w:customStyle="1" w:styleId="18">
    <w:name w:val="日期 Char"/>
    <w:basedOn w:val="10"/>
    <w:link w:val="3"/>
    <w:qFormat/>
    <w:uiPriority w:val="0"/>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CIB</Company>
  <Pages>1</Pages>
  <Words>99</Words>
  <Characters>567</Characters>
  <Lines>4</Lines>
  <Paragraphs>1</Paragraphs>
  <TotalTime>12</TotalTime>
  <ScaleCrop>false</ScaleCrop>
  <LinksUpToDate>false</LinksUpToDate>
  <CharactersWithSpaces>665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2021-10-22T07:07:00Z</dcterms:created>
  <dc:creator>陈亮</dc:creator>
  <cp:lastModifiedBy>刘宇祺</cp:lastModifiedBy>
  <cp:lastPrinted>2019-08-28T02:46:00Z</cp:lastPrinted>
  <dcterms:modified xsi:type="dcterms:W3CDTF">2022-02-07T08:01:58Z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