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9D" w:rsidRDefault="00A87FD7">
      <w:pPr>
        <w:autoSpaceDE w:val="0"/>
        <w:autoSpaceDN w:val="0"/>
        <w:adjustRightInd w:val="0"/>
        <w:spacing w:line="400" w:lineRule="exact"/>
        <w:jc w:val="left"/>
        <w:rPr>
          <w:rFonts w:ascii="宋体" w:hAnsi="宋体" w:cs="宋体"/>
          <w:b/>
          <w:color w:val="000000"/>
          <w:kern w:val="0"/>
          <w:szCs w:val="21"/>
        </w:rPr>
      </w:pPr>
      <w:r>
        <w:rPr>
          <w:rFonts w:ascii="宋体" w:hAnsi="宋体" w:cs="宋体"/>
          <w:b/>
          <w:color w:val="000000"/>
          <w:kern w:val="0"/>
          <w:szCs w:val="21"/>
        </w:rPr>
        <w:t>公告编号：临2022-</w:t>
      </w:r>
      <w:r w:rsidRPr="00433474">
        <w:rPr>
          <w:rFonts w:ascii="宋体" w:hAnsi="宋体" w:cs="宋体"/>
          <w:b/>
          <w:color w:val="000000"/>
          <w:kern w:val="0"/>
          <w:szCs w:val="21"/>
        </w:rPr>
        <w:t>0</w:t>
      </w:r>
      <w:r w:rsidR="00353FBF">
        <w:rPr>
          <w:rFonts w:ascii="宋体" w:hAnsi="宋体" w:cs="宋体" w:hint="eastAsia"/>
          <w:b/>
          <w:color w:val="000000"/>
          <w:kern w:val="0"/>
          <w:szCs w:val="21"/>
        </w:rPr>
        <w:t>20</w:t>
      </w:r>
    </w:p>
    <w:p w:rsidR="0058299D" w:rsidRDefault="00A87FD7">
      <w:pPr>
        <w:autoSpaceDE w:val="0"/>
        <w:autoSpaceDN w:val="0"/>
        <w:adjustRightInd w:val="0"/>
        <w:spacing w:line="400" w:lineRule="exact"/>
        <w:jc w:val="left"/>
        <w:rPr>
          <w:rFonts w:ascii="宋体" w:hAnsi="宋体" w:cs="宋体"/>
          <w:b/>
          <w:color w:val="000000"/>
          <w:kern w:val="0"/>
          <w:szCs w:val="21"/>
        </w:rPr>
      </w:pPr>
      <w:r>
        <w:rPr>
          <w:rFonts w:ascii="宋体" w:hAnsi="宋体" w:cs="宋体"/>
          <w:b/>
          <w:color w:val="000000"/>
          <w:kern w:val="0"/>
          <w:szCs w:val="21"/>
        </w:rPr>
        <w:t xml:space="preserve">A股代码：601166           </w:t>
      </w:r>
      <w:r>
        <w:rPr>
          <w:rFonts w:ascii="宋体" w:hAnsi="宋体" w:cs="宋体" w:hint="eastAsia"/>
          <w:b/>
          <w:color w:val="000000"/>
          <w:kern w:val="0"/>
          <w:szCs w:val="21"/>
        </w:rPr>
        <w:t xml:space="preserve">             </w:t>
      </w:r>
      <w:r>
        <w:rPr>
          <w:rFonts w:ascii="宋体" w:hAnsi="宋体" w:cs="宋体"/>
          <w:b/>
          <w:color w:val="000000"/>
          <w:kern w:val="0"/>
          <w:szCs w:val="21"/>
        </w:rPr>
        <w:t xml:space="preserve">  </w:t>
      </w:r>
      <w:r>
        <w:rPr>
          <w:rFonts w:ascii="宋体" w:hAnsi="宋体" w:cs="宋体" w:hint="eastAsia"/>
          <w:b/>
          <w:color w:val="000000"/>
          <w:kern w:val="0"/>
          <w:szCs w:val="21"/>
        </w:rPr>
        <w:t xml:space="preserve">  </w:t>
      </w:r>
      <w:r>
        <w:rPr>
          <w:rFonts w:ascii="宋体" w:hAnsi="宋体" w:cs="宋体"/>
          <w:b/>
          <w:color w:val="000000"/>
          <w:kern w:val="0"/>
          <w:szCs w:val="21"/>
        </w:rPr>
        <w:t>A股简称：兴业银行</w:t>
      </w:r>
    </w:p>
    <w:p w:rsidR="0058299D" w:rsidRDefault="00A87FD7">
      <w:pPr>
        <w:autoSpaceDE w:val="0"/>
        <w:autoSpaceDN w:val="0"/>
        <w:adjustRightInd w:val="0"/>
        <w:spacing w:line="400" w:lineRule="exact"/>
        <w:jc w:val="left"/>
        <w:rPr>
          <w:rFonts w:ascii="宋体" w:hAnsi="宋体" w:cs="宋体"/>
          <w:b/>
          <w:color w:val="000000"/>
          <w:kern w:val="0"/>
          <w:szCs w:val="21"/>
        </w:rPr>
      </w:pPr>
      <w:r>
        <w:rPr>
          <w:rFonts w:ascii="宋体" w:hAnsi="宋体" w:cs="宋体"/>
          <w:b/>
          <w:color w:val="000000"/>
          <w:kern w:val="0"/>
          <w:szCs w:val="21"/>
        </w:rPr>
        <w:t xml:space="preserve">优先股代码：360005、360012、360032     </w:t>
      </w:r>
      <w:r>
        <w:rPr>
          <w:rFonts w:ascii="宋体" w:hAnsi="宋体" w:cs="宋体" w:hint="eastAsia"/>
          <w:b/>
          <w:color w:val="000000"/>
          <w:kern w:val="0"/>
          <w:szCs w:val="21"/>
        </w:rPr>
        <w:t xml:space="preserve">    </w:t>
      </w:r>
      <w:r>
        <w:rPr>
          <w:rFonts w:ascii="宋体" w:hAnsi="宋体" w:cs="宋体"/>
          <w:b/>
          <w:color w:val="000000"/>
          <w:kern w:val="0"/>
          <w:szCs w:val="21"/>
        </w:rPr>
        <w:t>优先股简称：兴业优1、兴业优2、兴业优3</w:t>
      </w:r>
    </w:p>
    <w:p w:rsidR="0058299D" w:rsidRDefault="00A87FD7">
      <w:pPr>
        <w:spacing w:line="400" w:lineRule="exact"/>
        <w:rPr>
          <w:rFonts w:ascii="宋体" w:hAnsi="宋体" w:cs="宋体"/>
          <w:b/>
          <w:color w:val="000000"/>
          <w:kern w:val="0"/>
          <w:szCs w:val="21"/>
        </w:rPr>
      </w:pPr>
      <w:r>
        <w:rPr>
          <w:rFonts w:ascii="宋体" w:hAnsi="宋体" w:cs="宋体"/>
          <w:b/>
          <w:color w:val="000000"/>
          <w:kern w:val="0"/>
          <w:szCs w:val="21"/>
        </w:rPr>
        <w:t xml:space="preserve">可转债代码：113052                    </w:t>
      </w:r>
      <w:r>
        <w:rPr>
          <w:rFonts w:ascii="宋体" w:hAnsi="宋体" w:cs="宋体" w:hint="eastAsia"/>
          <w:b/>
          <w:color w:val="000000"/>
          <w:kern w:val="0"/>
          <w:szCs w:val="21"/>
        </w:rPr>
        <w:t xml:space="preserve">    </w:t>
      </w:r>
      <w:r>
        <w:rPr>
          <w:rFonts w:ascii="宋体" w:hAnsi="宋体" w:cs="宋体"/>
          <w:b/>
          <w:color w:val="000000"/>
          <w:kern w:val="0"/>
          <w:szCs w:val="21"/>
        </w:rPr>
        <w:t xml:space="preserve"> 可转债简称：兴业转债</w:t>
      </w:r>
    </w:p>
    <w:p w:rsidR="0058299D" w:rsidRDefault="0058299D">
      <w:pPr>
        <w:rPr>
          <w:rFonts w:ascii="宋体" w:hAnsi="宋体"/>
          <w:sz w:val="24"/>
        </w:rPr>
      </w:pPr>
    </w:p>
    <w:p w:rsidR="0058299D" w:rsidRDefault="00A87FD7">
      <w:pPr>
        <w:jc w:val="center"/>
        <w:rPr>
          <w:rFonts w:ascii="黑体" w:eastAsia="黑体" w:hAnsi="Calibri"/>
          <w:color w:val="FF0000"/>
          <w:sz w:val="44"/>
          <w:szCs w:val="44"/>
        </w:rPr>
      </w:pPr>
      <w:r>
        <w:rPr>
          <w:rFonts w:ascii="黑体" w:eastAsia="黑体" w:hAnsi="Calibri"/>
          <w:color w:val="FF0000"/>
          <w:sz w:val="44"/>
          <w:szCs w:val="44"/>
        </w:rPr>
        <w:t>兴业银行股份有限公司</w:t>
      </w:r>
    </w:p>
    <w:p w:rsidR="0058299D" w:rsidRDefault="00A87FD7">
      <w:pPr>
        <w:jc w:val="center"/>
        <w:rPr>
          <w:rFonts w:ascii="黑体" w:eastAsia="黑体" w:hAnsi="Calibri"/>
          <w:color w:val="FF0000"/>
          <w:sz w:val="44"/>
          <w:szCs w:val="44"/>
        </w:rPr>
      </w:pPr>
      <w:r>
        <w:rPr>
          <w:rFonts w:ascii="黑体" w:eastAsia="黑体" w:hAnsi="Calibri" w:hint="eastAsia"/>
          <w:color w:val="FF0000"/>
          <w:sz w:val="44"/>
          <w:szCs w:val="44"/>
        </w:rPr>
        <w:t>关于续聘会计师事务所的公告</w:t>
      </w:r>
    </w:p>
    <w:p w:rsidR="0058299D" w:rsidRDefault="0058299D">
      <w:pPr>
        <w:rPr>
          <w:rFonts w:ascii="黑体" w:eastAsia="黑体" w:hAnsi="Calibri"/>
          <w:color w:val="FF0000"/>
          <w:sz w:val="24"/>
        </w:rPr>
      </w:pPr>
    </w:p>
    <w:p w:rsidR="0058299D" w:rsidRDefault="00A87FD7">
      <w:pPr>
        <w:spacing w:line="360" w:lineRule="auto"/>
        <w:ind w:firstLineChars="200" w:firstLine="480"/>
        <w:rPr>
          <w:rFonts w:ascii="宋体" w:hAnsi="宋体"/>
          <w:sz w:val="24"/>
          <w:szCs w:val="22"/>
        </w:rPr>
      </w:pPr>
      <w:r>
        <w:rPr>
          <w:rFonts w:ascii="宋体" w:hAnsi="宋体" w:hint="eastAsia"/>
          <w:sz w:val="24"/>
          <w:szCs w:val="22"/>
        </w:rPr>
        <w:t>本公司董事会及全体董事保证本公告内容不存在任何虚假记载、误导性陈述或者重大遗漏，并对其内容的真实性、准确</w:t>
      </w:r>
      <w:bookmarkStart w:id="0" w:name="_GoBack"/>
      <w:bookmarkEnd w:id="0"/>
      <w:r>
        <w:rPr>
          <w:rFonts w:ascii="宋体" w:hAnsi="宋体" w:hint="eastAsia"/>
          <w:sz w:val="24"/>
          <w:szCs w:val="22"/>
        </w:rPr>
        <w:t>性和完整性承担个别及连带责任。</w:t>
      </w:r>
    </w:p>
    <w:p w:rsidR="0058299D" w:rsidRDefault="0058299D"/>
    <w:p w:rsidR="0058299D" w:rsidRDefault="00A87FD7">
      <w:pPr>
        <w:pStyle w:val="Default"/>
        <w:spacing w:line="360" w:lineRule="auto"/>
        <w:ind w:firstLineChars="200" w:firstLine="482"/>
        <w:rPr>
          <w:rFonts w:ascii="Wingdings" w:hAnsi="Wingdings" w:cs="Wingdings"/>
        </w:rPr>
      </w:pPr>
      <w:r>
        <w:rPr>
          <w:rFonts w:hAnsi="宋体" w:hint="eastAsia"/>
          <w:b/>
        </w:rPr>
        <w:t>重要内容提示：</w:t>
      </w:r>
    </w:p>
    <w:p w:rsidR="0058299D" w:rsidRPr="00D23867" w:rsidRDefault="00A87FD7" w:rsidP="00D23867">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兴业银行股份有限公司</w:t>
      </w:r>
      <w:r w:rsidRPr="00D23867">
        <w:rPr>
          <w:rFonts w:ascii="宋体" w:hAnsi="宋体" w:hint="eastAsia"/>
          <w:sz w:val="24"/>
        </w:rPr>
        <w:t>拟继续聘请毕马威华振会计师事务所</w:t>
      </w:r>
      <w:r>
        <w:rPr>
          <w:rFonts w:ascii="宋体" w:hAnsi="宋体" w:hint="eastAsia"/>
          <w:sz w:val="24"/>
        </w:rPr>
        <w:t>（特殊普通合伙）提供</w:t>
      </w:r>
      <w:r w:rsidRPr="00D23867">
        <w:rPr>
          <w:rFonts w:ascii="宋体" w:hAnsi="宋体"/>
          <w:sz w:val="24"/>
        </w:rPr>
        <w:t>2022</w:t>
      </w:r>
      <w:r w:rsidRPr="00D23867">
        <w:rPr>
          <w:rFonts w:ascii="宋体" w:hAnsi="宋体" w:hint="eastAsia"/>
          <w:sz w:val="24"/>
        </w:rPr>
        <w:t>年</w:t>
      </w:r>
      <w:r>
        <w:rPr>
          <w:rFonts w:ascii="宋体" w:hAnsi="宋体" w:hint="eastAsia"/>
          <w:sz w:val="24"/>
        </w:rPr>
        <w:t>年度审计、半年度报告审阅和内部控制审计服务，</w:t>
      </w:r>
      <w:r w:rsidRPr="00D23867">
        <w:rPr>
          <w:rFonts w:ascii="宋体" w:hAnsi="宋体" w:hint="eastAsia"/>
          <w:sz w:val="24"/>
        </w:rPr>
        <w:t>聘期一年</w:t>
      </w:r>
      <w:r>
        <w:rPr>
          <w:rFonts w:ascii="宋体" w:hAnsi="宋体" w:hint="eastAsia"/>
          <w:sz w:val="24"/>
        </w:rPr>
        <w:t>，</w:t>
      </w:r>
      <w:r w:rsidRPr="00D23867">
        <w:rPr>
          <w:rFonts w:ascii="宋体" w:hAnsi="宋体" w:hint="eastAsia"/>
          <w:sz w:val="24"/>
        </w:rPr>
        <w:t>审计总费用</w:t>
      </w:r>
      <w:r w:rsidRPr="00D23867">
        <w:rPr>
          <w:rFonts w:ascii="宋体" w:hAnsi="宋体"/>
          <w:sz w:val="24"/>
        </w:rPr>
        <w:t>885</w:t>
      </w:r>
      <w:r w:rsidRPr="00D23867">
        <w:rPr>
          <w:rFonts w:ascii="宋体" w:hAnsi="宋体" w:hint="eastAsia"/>
          <w:sz w:val="24"/>
        </w:rPr>
        <w:t>万元。</w:t>
      </w:r>
    </w:p>
    <w:p w:rsidR="0058299D" w:rsidRPr="00D23867" w:rsidRDefault="0058299D" w:rsidP="00D23867">
      <w:pPr>
        <w:autoSpaceDE w:val="0"/>
        <w:autoSpaceDN w:val="0"/>
        <w:adjustRightInd w:val="0"/>
        <w:spacing w:line="360" w:lineRule="auto"/>
        <w:ind w:firstLineChars="200" w:firstLine="480"/>
        <w:jc w:val="left"/>
        <w:rPr>
          <w:rFonts w:ascii="宋体" w:hAnsi="宋体"/>
          <w:sz w:val="24"/>
        </w:rPr>
      </w:pPr>
    </w:p>
    <w:p w:rsidR="0058299D" w:rsidRPr="0086227F" w:rsidRDefault="0086227F" w:rsidP="0086227F">
      <w:pPr>
        <w:spacing w:line="440" w:lineRule="exact"/>
        <w:ind w:firstLineChars="200" w:firstLine="482"/>
        <w:rPr>
          <w:rFonts w:ascii="宋体" w:hAnsi="宋体"/>
          <w:b/>
          <w:sz w:val="24"/>
        </w:rPr>
      </w:pPr>
      <w:r>
        <w:rPr>
          <w:rFonts w:ascii="宋体" w:hAnsi="宋体" w:hint="eastAsia"/>
          <w:b/>
          <w:sz w:val="24"/>
        </w:rPr>
        <w:t>一、</w:t>
      </w:r>
      <w:r w:rsidR="00A87FD7" w:rsidRPr="0086227F">
        <w:rPr>
          <w:rFonts w:ascii="宋体" w:hAnsi="宋体" w:hint="eastAsia"/>
          <w:b/>
          <w:sz w:val="24"/>
        </w:rPr>
        <w:t>拟续聘会计师事务所的基本情况</w:t>
      </w:r>
    </w:p>
    <w:p w:rsidR="0058299D" w:rsidRPr="0086227F" w:rsidRDefault="0086227F" w:rsidP="0086227F">
      <w:pPr>
        <w:adjustRightInd w:val="0"/>
        <w:snapToGrid w:val="0"/>
        <w:spacing w:line="440" w:lineRule="exact"/>
        <w:ind w:firstLineChars="200" w:firstLine="480"/>
        <w:rPr>
          <w:rFonts w:ascii="宋体" w:hAnsi="宋体"/>
          <w:sz w:val="24"/>
        </w:rPr>
      </w:pPr>
      <w:r w:rsidRPr="0086227F">
        <w:rPr>
          <w:rFonts w:ascii="宋体" w:hAnsi="宋体" w:hint="eastAsia"/>
          <w:sz w:val="24"/>
        </w:rPr>
        <w:t>（一）</w:t>
      </w:r>
      <w:r w:rsidR="00A87FD7" w:rsidRPr="0086227F">
        <w:rPr>
          <w:rFonts w:ascii="宋体" w:hAnsi="宋体"/>
          <w:sz w:val="24"/>
        </w:rPr>
        <w:t>机构信息</w:t>
      </w:r>
    </w:p>
    <w:p w:rsidR="0058299D" w:rsidRDefault="00A87FD7" w:rsidP="00D23867">
      <w:pPr>
        <w:pStyle w:val="af0"/>
        <w:adjustRightInd w:val="0"/>
        <w:snapToGrid w:val="0"/>
        <w:spacing w:line="440" w:lineRule="exact"/>
        <w:ind w:hanging="340"/>
        <w:contextualSpacing w:val="0"/>
        <w:rPr>
          <w:rFonts w:asciiTheme="majorEastAsia" w:eastAsiaTheme="majorEastAsia" w:hAnsiTheme="majorEastAsia"/>
          <w:sz w:val="24"/>
        </w:rPr>
      </w:pPr>
      <w:r>
        <w:rPr>
          <w:rFonts w:asciiTheme="majorEastAsia" w:eastAsiaTheme="majorEastAsia" w:hAnsiTheme="majorEastAsia"/>
          <w:sz w:val="24"/>
        </w:rPr>
        <w:t>1.</w:t>
      </w:r>
      <w:r>
        <w:rPr>
          <w:rFonts w:asciiTheme="majorEastAsia" w:eastAsiaTheme="majorEastAsia" w:hAnsiTheme="majorEastAsia"/>
          <w:sz w:val="24"/>
        </w:rPr>
        <w:tab/>
        <w:t>基本信息</w:t>
      </w:r>
    </w:p>
    <w:p w:rsidR="0058299D" w:rsidRDefault="00A87FD7" w:rsidP="00D23867">
      <w:pPr>
        <w:spacing w:line="440" w:lineRule="exact"/>
        <w:ind w:firstLineChars="200" w:firstLine="480"/>
        <w:rPr>
          <w:rFonts w:ascii="宋体" w:hAnsi="宋体"/>
          <w:sz w:val="24"/>
        </w:rPr>
      </w:pPr>
      <w:r>
        <w:rPr>
          <w:rFonts w:ascii="宋体" w:hAnsi="宋体"/>
          <w:sz w:val="24"/>
        </w:rPr>
        <w:t>毕马威华振会计师事务所于1992年8月18日在北京成立，于2012年7月5日获财政部批准转制为特殊普通合伙的合伙制企业，更名为毕马威华振会计师事务所（特殊普通合伙）（以下简称毕马威华振），2012年7月10日取得营业执照，并于2012年8月1日正式运营。</w:t>
      </w:r>
    </w:p>
    <w:p w:rsidR="0058299D" w:rsidRDefault="00A87FD7" w:rsidP="00D23867">
      <w:pPr>
        <w:spacing w:line="440" w:lineRule="exact"/>
        <w:ind w:firstLineChars="200" w:firstLine="480"/>
        <w:rPr>
          <w:rFonts w:ascii="宋体" w:hAnsi="宋体"/>
          <w:sz w:val="24"/>
        </w:rPr>
      </w:pPr>
      <w:r>
        <w:rPr>
          <w:rFonts w:ascii="宋体" w:hAnsi="宋体"/>
          <w:sz w:val="24"/>
        </w:rPr>
        <w:t>毕马威华振总所位于北京，注册地址为北京市东城区东长安街1号东方广场东2座办公楼8层。</w:t>
      </w:r>
    </w:p>
    <w:p w:rsidR="0058299D" w:rsidRDefault="00A87FD7" w:rsidP="00D23867">
      <w:pPr>
        <w:spacing w:line="440" w:lineRule="exact"/>
        <w:ind w:firstLineChars="200" w:firstLine="480"/>
        <w:rPr>
          <w:rFonts w:ascii="宋体" w:hAnsi="宋体"/>
          <w:sz w:val="24"/>
        </w:rPr>
      </w:pPr>
      <w:r>
        <w:rPr>
          <w:rFonts w:ascii="宋体" w:hAnsi="宋体"/>
          <w:sz w:val="24"/>
        </w:rPr>
        <w:t>毕马威华振的首席合伙人邹俊，中国国籍，具有中国注册会计师资格。</w:t>
      </w:r>
    </w:p>
    <w:p w:rsidR="0058299D" w:rsidRDefault="00A87FD7" w:rsidP="00D23867">
      <w:pPr>
        <w:spacing w:line="440" w:lineRule="exact"/>
        <w:ind w:firstLineChars="200" w:firstLine="480"/>
        <w:rPr>
          <w:rFonts w:ascii="宋体" w:hAnsi="宋体"/>
          <w:sz w:val="24"/>
        </w:rPr>
      </w:pPr>
      <w:bookmarkStart w:id="1" w:name="_Hlk96004554"/>
      <w:r>
        <w:rPr>
          <w:rFonts w:ascii="宋体" w:hAnsi="宋体" w:hint="eastAsia"/>
          <w:sz w:val="24"/>
        </w:rPr>
        <w:t>截至</w:t>
      </w:r>
      <w:r>
        <w:rPr>
          <w:rFonts w:ascii="宋体" w:hAnsi="宋体"/>
          <w:sz w:val="24"/>
        </w:rPr>
        <w:t>20</w:t>
      </w:r>
      <w:r>
        <w:rPr>
          <w:rFonts w:ascii="宋体" w:hAnsi="宋体" w:hint="eastAsia"/>
          <w:sz w:val="24"/>
        </w:rPr>
        <w:t>2</w:t>
      </w:r>
      <w:r>
        <w:rPr>
          <w:rFonts w:ascii="宋体" w:hAnsi="宋体"/>
          <w:sz w:val="24"/>
        </w:rPr>
        <w:t>1年12月31日，毕马威华振</w:t>
      </w:r>
      <w:r>
        <w:rPr>
          <w:rFonts w:ascii="宋体" w:hAnsi="宋体" w:hint="eastAsia"/>
          <w:sz w:val="24"/>
        </w:rPr>
        <w:t>有</w:t>
      </w:r>
      <w:r>
        <w:rPr>
          <w:rFonts w:ascii="宋体" w:hAnsi="宋体"/>
          <w:sz w:val="24"/>
        </w:rPr>
        <w:t>合伙人</w:t>
      </w:r>
      <w:r>
        <w:rPr>
          <w:rFonts w:ascii="宋体" w:hAnsi="宋体" w:hint="eastAsia"/>
          <w:sz w:val="24"/>
        </w:rPr>
        <w:t>1</w:t>
      </w:r>
      <w:r>
        <w:rPr>
          <w:rFonts w:ascii="宋体" w:hAnsi="宋体"/>
          <w:sz w:val="24"/>
        </w:rPr>
        <w:t>99人，注册会计师977人，其中签署过证券服务业务审计报告的注册会计师超过210人。</w:t>
      </w:r>
    </w:p>
    <w:p w:rsidR="0058299D" w:rsidRDefault="00A87FD7" w:rsidP="00D23867">
      <w:pPr>
        <w:spacing w:line="440" w:lineRule="exact"/>
        <w:ind w:firstLineChars="200" w:firstLine="480"/>
        <w:rPr>
          <w:rFonts w:ascii="宋体" w:hAnsi="宋体"/>
          <w:sz w:val="24"/>
        </w:rPr>
      </w:pPr>
      <w:r>
        <w:rPr>
          <w:rFonts w:ascii="宋体" w:hAnsi="宋体"/>
          <w:sz w:val="24"/>
        </w:rPr>
        <w:t>毕马威华振</w:t>
      </w:r>
      <w:r>
        <w:rPr>
          <w:rFonts w:ascii="宋体" w:hAnsi="宋体" w:hint="eastAsia"/>
          <w:sz w:val="24"/>
        </w:rPr>
        <w:t>20</w:t>
      </w:r>
      <w:r>
        <w:rPr>
          <w:rFonts w:ascii="宋体" w:hAnsi="宋体"/>
          <w:sz w:val="24"/>
        </w:rPr>
        <w:t>20</w:t>
      </w:r>
      <w:r>
        <w:rPr>
          <w:rFonts w:ascii="宋体" w:hAnsi="宋体" w:hint="eastAsia"/>
          <w:sz w:val="24"/>
        </w:rPr>
        <w:t>年</w:t>
      </w:r>
      <w:r>
        <w:rPr>
          <w:rFonts w:ascii="宋体" w:hAnsi="宋体"/>
          <w:sz w:val="24"/>
        </w:rPr>
        <w:t>经审计的业务收入总额超过人民币34亿元，其中审计业务收入超过人民币31亿元（包括境内法定证券业务收入超过人民币6亿元，其他证券业务收入超过人民币7亿元，证券业务收入</w:t>
      </w:r>
      <w:r>
        <w:rPr>
          <w:rFonts w:ascii="宋体" w:hAnsi="宋体" w:hint="eastAsia"/>
          <w:sz w:val="24"/>
        </w:rPr>
        <w:t>总</w:t>
      </w:r>
      <w:r>
        <w:rPr>
          <w:rFonts w:ascii="宋体" w:hAnsi="宋体"/>
          <w:sz w:val="24"/>
        </w:rPr>
        <w:t>计超过人民币13亿元）。</w:t>
      </w:r>
    </w:p>
    <w:p w:rsidR="0058299D" w:rsidRDefault="00A87FD7" w:rsidP="00D23867">
      <w:pPr>
        <w:spacing w:line="440" w:lineRule="exact"/>
        <w:ind w:firstLineChars="200" w:firstLine="480"/>
        <w:rPr>
          <w:rFonts w:ascii="宋体" w:hAnsi="宋体"/>
          <w:sz w:val="24"/>
        </w:rPr>
      </w:pPr>
      <w:r>
        <w:rPr>
          <w:rFonts w:ascii="宋体" w:hAnsi="宋体"/>
          <w:sz w:val="24"/>
        </w:rPr>
        <w:lastRenderedPageBreak/>
        <w:t>毕马威华振</w:t>
      </w:r>
      <w:r>
        <w:rPr>
          <w:rFonts w:ascii="宋体" w:hAnsi="宋体" w:hint="eastAsia"/>
          <w:sz w:val="24"/>
        </w:rPr>
        <w:t>20</w:t>
      </w:r>
      <w:r>
        <w:rPr>
          <w:rFonts w:ascii="宋体" w:hAnsi="宋体"/>
          <w:sz w:val="24"/>
        </w:rPr>
        <w:t>20</w:t>
      </w:r>
      <w:r>
        <w:rPr>
          <w:rFonts w:ascii="宋体" w:hAnsi="宋体" w:hint="eastAsia"/>
          <w:sz w:val="24"/>
        </w:rPr>
        <w:t>年</w:t>
      </w:r>
      <w:r>
        <w:rPr>
          <w:rFonts w:ascii="宋体" w:hAnsi="宋体"/>
          <w:sz w:val="24"/>
        </w:rPr>
        <w:t>上市公司</w:t>
      </w:r>
      <w:r>
        <w:rPr>
          <w:rFonts w:ascii="宋体" w:hAnsi="宋体" w:hint="eastAsia"/>
          <w:sz w:val="24"/>
        </w:rPr>
        <w:t>年报</w:t>
      </w:r>
      <w:r>
        <w:rPr>
          <w:rFonts w:ascii="宋体" w:hAnsi="宋体"/>
          <w:sz w:val="24"/>
        </w:rPr>
        <w:t>审计</w:t>
      </w:r>
      <w:r>
        <w:rPr>
          <w:rFonts w:ascii="宋体" w:hAnsi="宋体" w:hint="eastAsia"/>
          <w:sz w:val="24"/>
        </w:rPr>
        <w:t>客户家数为</w:t>
      </w:r>
      <w:r>
        <w:rPr>
          <w:rFonts w:ascii="宋体" w:hAnsi="宋体"/>
          <w:sz w:val="24"/>
        </w:rPr>
        <w:t>57家，上市公司财务报表审计收费总额为人民币3.56亿元。这些上市公司主要行业涉及制造业，金融业，采矿业，</w:t>
      </w:r>
      <w:r>
        <w:rPr>
          <w:rFonts w:ascii="宋体" w:hAnsi="宋体" w:hint="eastAsia"/>
          <w:sz w:val="24"/>
        </w:rPr>
        <w:t>电力、热力、燃气及水的生产和供应业，批发和零售业，交通运输、仓储和邮政业，房地产业，租赁和商务服务业，科学研究和技术服务业，水利、环境和公共设施管理业，</w:t>
      </w:r>
      <w:r>
        <w:rPr>
          <w:rFonts w:ascii="宋体" w:hAnsi="宋体"/>
          <w:sz w:val="24"/>
        </w:rPr>
        <w:t>信息传输、软件和信息技术服务业，以及</w:t>
      </w:r>
      <w:r w:rsidRPr="00B43F16">
        <w:rPr>
          <w:rFonts w:ascii="宋体" w:hAnsi="宋体"/>
          <w:sz w:val="24"/>
        </w:rPr>
        <w:t>卫生和社会工作业。</w:t>
      </w:r>
      <w:r>
        <w:rPr>
          <w:rFonts w:ascii="宋体" w:hAnsi="宋体" w:hint="eastAsia"/>
          <w:sz w:val="24"/>
        </w:rPr>
        <w:t>毕马威华振</w:t>
      </w:r>
      <w:r>
        <w:rPr>
          <w:rFonts w:ascii="宋体" w:hAnsi="宋体"/>
          <w:sz w:val="24"/>
        </w:rPr>
        <w:t>2020</w:t>
      </w:r>
      <w:r>
        <w:rPr>
          <w:rFonts w:ascii="宋体" w:hAnsi="宋体" w:hint="eastAsia"/>
          <w:sz w:val="24"/>
        </w:rPr>
        <w:t>年本公司同行业上市公司审计客户家数为</w:t>
      </w:r>
      <w:r>
        <w:rPr>
          <w:rFonts w:ascii="宋体" w:hAnsi="宋体"/>
          <w:sz w:val="24"/>
        </w:rPr>
        <w:t>15</w:t>
      </w:r>
      <w:r>
        <w:rPr>
          <w:rFonts w:ascii="宋体" w:hAnsi="宋体" w:hint="eastAsia"/>
          <w:sz w:val="24"/>
        </w:rPr>
        <w:t>家。</w:t>
      </w:r>
    </w:p>
    <w:p w:rsidR="0058299D" w:rsidRDefault="00A87FD7" w:rsidP="00D23867">
      <w:pPr>
        <w:pStyle w:val="af0"/>
        <w:adjustRightInd w:val="0"/>
        <w:snapToGrid w:val="0"/>
        <w:spacing w:line="440" w:lineRule="exact"/>
        <w:ind w:hanging="340"/>
        <w:contextualSpacing w:val="0"/>
        <w:rPr>
          <w:rFonts w:asciiTheme="majorEastAsia" w:eastAsiaTheme="majorEastAsia" w:hAnsiTheme="majorEastAsia"/>
          <w:sz w:val="24"/>
        </w:rPr>
      </w:pPr>
      <w:bookmarkStart w:id="2" w:name="_Hlk63184582"/>
      <w:bookmarkStart w:id="3" w:name="_Hlk63184610"/>
      <w:r>
        <w:rPr>
          <w:rFonts w:asciiTheme="majorEastAsia" w:eastAsiaTheme="majorEastAsia" w:hAnsiTheme="majorEastAsia"/>
          <w:sz w:val="24"/>
        </w:rPr>
        <w:t>2</w:t>
      </w:r>
      <w:r>
        <w:rPr>
          <w:rFonts w:asciiTheme="majorEastAsia" w:eastAsiaTheme="majorEastAsia" w:hAnsiTheme="majorEastAsia" w:hint="eastAsia"/>
          <w:sz w:val="24"/>
        </w:rPr>
        <w:t>．投资者保护能力</w:t>
      </w:r>
    </w:p>
    <w:p w:rsidR="0058299D" w:rsidRDefault="00A87FD7" w:rsidP="00D23867">
      <w:pPr>
        <w:spacing w:line="440" w:lineRule="exact"/>
        <w:ind w:firstLineChars="200" w:firstLine="480"/>
        <w:rPr>
          <w:rFonts w:ascii="宋体" w:hAnsi="宋体"/>
          <w:sz w:val="24"/>
        </w:rPr>
      </w:pPr>
      <w:r>
        <w:rPr>
          <w:rFonts w:ascii="宋体" w:hAnsi="宋体"/>
          <w:sz w:val="24"/>
        </w:rPr>
        <w:t>毕马威华振购买的职业保险累计赔偿限额和职业风险基金之和超过人民币2</w:t>
      </w:r>
      <w:r>
        <w:rPr>
          <w:rFonts w:ascii="宋体" w:hAnsi="宋体" w:hint="eastAsia"/>
          <w:sz w:val="24"/>
        </w:rPr>
        <w:t>亿元</w:t>
      </w:r>
      <w:r>
        <w:rPr>
          <w:rFonts w:ascii="宋体" w:hAnsi="宋体"/>
          <w:sz w:val="24"/>
        </w:rPr>
        <w:t>，</w:t>
      </w:r>
      <w:bookmarkEnd w:id="2"/>
      <w:r>
        <w:rPr>
          <w:rFonts w:ascii="宋体" w:hAnsi="宋体" w:hint="eastAsia"/>
          <w:sz w:val="24"/>
        </w:rPr>
        <w:t>符合法律法规</w:t>
      </w:r>
      <w:r>
        <w:rPr>
          <w:rFonts w:ascii="宋体" w:hAnsi="宋体"/>
          <w:sz w:val="24"/>
        </w:rPr>
        <w:t>相关</w:t>
      </w:r>
      <w:r>
        <w:rPr>
          <w:rFonts w:ascii="宋体" w:hAnsi="宋体" w:hint="eastAsia"/>
          <w:sz w:val="24"/>
        </w:rPr>
        <w:t>规定</w:t>
      </w:r>
      <w:r>
        <w:rPr>
          <w:rFonts w:ascii="宋体" w:hAnsi="宋体"/>
          <w:sz w:val="24"/>
        </w:rPr>
        <w:t>。</w:t>
      </w:r>
      <w:bookmarkEnd w:id="3"/>
      <w:r>
        <w:rPr>
          <w:rFonts w:ascii="宋体" w:hAnsi="宋体" w:hint="eastAsia"/>
          <w:sz w:val="24"/>
        </w:rPr>
        <w:t>毕马威华振近三年不存在因执业行为相关民事诉讼而需承担民事责任的情况。</w:t>
      </w:r>
    </w:p>
    <w:p w:rsidR="0058299D" w:rsidRDefault="00A87FD7" w:rsidP="00D23867">
      <w:pPr>
        <w:pStyle w:val="af0"/>
        <w:adjustRightInd w:val="0"/>
        <w:snapToGrid w:val="0"/>
        <w:spacing w:line="440" w:lineRule="exact"/>
        <w:ind w:hanging="340"/>
        <w:contextualSpacing w:val="0"/>
        <w:rPr>
          <w:rFonts w:asciiTheme="majorEastAsia" w:eastAsiaTheme="majorEastAsia" w:hAnsiTheme="majorEastAsia"/>
          <w:sz w:val="24"/>
        </w:rPr>
      </w:pPr>
      <w:bookmarkStart w:id="4" w:name="_Hlk34078818"/>
      <w:r>
        <w:rPr>
          <w:rFonts w:asciiTheme="majorEastAsia" w:eastAsiaTheme="majorEastAsia" w:hAnsiTheme="majorEastAsia" w:hint="eastAsia"/>
          <w:sz w:val="24"/>
        </w:rPr>
        <w:t>3．诚信记录</w:t>
      </w:r>
    </w:p>
    <w:p w:rsidR="0058299D" w:rsidRDefault="00A87FD7" w:rsidP="00D23867">
      <w:pPr>
        <w:spacing w:line="440" w:lineRule="exact"/>
        <w:ind w:firstLineChars="200" w:firstLine="480"/>
        <w:rPr>
          <w:rFonts w:ascii="宋体" w:hAnsi="宋体"/>
          <w:sz w:val="24"/>
        </w:rPr>
      </w:pPr>
      <w:r>
        <w:rPr>
          <w:rFonts w:ascii="宋体" w:hAnsi="宋体"/>
          <w:sz w:val="24"/>
        </w:rPr>
        <w:t>毕马威华振及其从业人员</w:t>
      </w:r>
      <w:r>
        <w:rPr>
          <w:rFonts w:ascii="宋体" w:hAnsi="宋体" w:hint="eastAsia"/>
          <w:sz w:val="24"/>
        </w:rPr>
        <w:t>近三年</w:t>
      </w:r>
      <w:r>
        <w:rPr>
          <w:rFonts w:ascii="宋体" w:hAnsi="宋体"/>
          <w:sz w:val="24"/>
        </w:rPr>
        <w:t>未因执业行为受到任何刑事处罚、行政处罚</w:t>
      </w:r>
      <w:r>
        <w:rPr>
          <w:rFonts w:ascii="宋体" w:hAnsi="宋体" w:hint="eastAsia"/>
          <w:sz w:val="24"/>
        </w:rPr>
        <w:t>，或证监会及其派出机构的行政监管措施，或</w:t>
      </w:r>
      <w:r>
        <w:rPr>
          <w:rFonts w:ascii="宋体" w:hAnsi="宋体"/>
          <w:sz w:val="24"/>
        </w:rPr>
        <w:t>证券交易所、行业协会等自律组织的自律监管措施或纪律处分。</w:t>
      </w:r>
    </w:p>
    <w:p w:rsidR="0058299D" w:rsidRDefault="00A87FD7" w:rsidP="0086227F">
      <w:pPr>
        <w:adjustRightInd w:val="0"/>
        <w:snapToGrid w:val="0"/>
        <w:spacing w:line="440" w:lineRule="exact"/>
        <w:ind w:firstLineChars="200" w:firstLine="480"/>
        <w:rPr>
          <w:rFonts w:ascii="宋体" w:hAnsi="宋体"/>
          <w:sz w:val="24"/>
        </w:rPr>
      </w:pPr>
      <w:bookmarkStart w:id="5" w:name="_Hlk96429092"/>
      <w:bookmarkEnd w:id="1"/>
      <w:bookmarkEnd w:id="4"/>
      <w:r>
        <w:rPr>
          <w:rFonts w:ascii="宋体" w:hAnsi="宋体" w:hint="eastAsia"/>
          <w:sz w:val="24"/>
        </w:rPr>
        <w:t>（二）项目信息</w:t>
      </w:r>
    </w:p>
    <w:p w:rsidR="0058299D" w:rsidRDefault="00A87FD7" w:rsidP="00D23867">
      <w:pPr>
        <w:pStyle w:val="af0"/>
        <w:adjustRightInd w:val="0"/>
        <w:snapToGrid w:val="0"/>
        <w:spacing w:line="440" w:lineRule="exact"/>
        <w:ind w:hanging="340"/>
        <w:contextualSpacing w:val="0"/>
        <w:rPr>
          <w:rFonts w:asciiTheme="majorEastAsia" w:eastAsiaTheme="majorEastAsia" w:hAnsiTheme="majorEastAsia"/>
          <w:sz w:val="24"/>
        </w:rPr>
      </w:pPr>
      <w:r>
        <w:rPr>
          <w:rFonts w:asciiTheme="majorEastAsia" w:eastAsiaTheme="majorEastAsia" w:hAnsiTheme="majorEastAsia" w:hint="eastAsia"/>
          <w:sz w:val="24"/>
        </w:rPr>
        <w:t>1．基本信息</w:t>
      </w:r>
    </w:p>
    <w:p w:rsidR="0058299D" w:rsidRDefault="00A87FD7" w:rsidP="00D23867">
      <w:pPr>
        <w:spacing w:line="440" w:lineRule="exact"/>
        <w:ind w:firstLineChars="200" w:firstLine="480"/>
        <w:rPr>
          <w:rFonts w:ascii="宋体" w:hAnsi="宋体"/>
          <w:sz w:val="24"/>
        </w:rPr>
      </w:pPr>
      <w:r>
        <w:rPr>
          <w:rFonts w:ascii="宋体" w:hAnsi="宋体"/>
          <w:sz w:val="24"/>
        </w:rPr>
        <w:t>毕马威华振承做</w:t>
      </w:r>
      <w:r w:rsidR="00296ED2">
        <w:rPr>
          <w:rFonts w:ascii="宋体" w:hAnsi="宋体"/>
          <w:sz w:val="24"/>
        </w:rPr>
        <w:t>兴业银行股份有限公司（以下简称</w:t>
      </w:r>
      <w:r>
        <w:rPr>
          <w:rFonts w:ascii="宋体" w:hAnsi="宋体" w:hint="eastAsia"/>
          <w:sz w:val="24"/>
        </w:rPr>
        <w:t>本公司</w:t>
      </w:r>
      <w:r w:rsidR="00296ED2">
        <w:rPr>
          <w:rFonts w:ascii="宋体" w:hAnsi="宋体" w:hint="eastAsia"/>
          <w:sz w:val="24"/>
        </w:rPr>
        <w:t>）</w:t>
      </w:r>
      <w:r>
        <w:rPr>
          <w:rFonts w:ascii="宋体" w:hAnsi="宋体" w:hint="eastAsia"/>
          <w:sz w:val="24"/>
        </w:rPr>
        <w:t>202</w:t>
      </w:r>
      <w:r>
        <w:rPr>
          <w:rFonts w:ascii="宋体" w:hAnsi="宋体"/>
          <w:sz w:val="24"/>
        </w:rPr>
        <w:t>2年度财务报表审计项目的</w:t>
      </w:r>
      <w:r>
        <w:rPr>
          <w:rFonts w:ascii="宋体" w:hAnsi="宋体" w:hint="eastAsia"/>
          <w:sz w:val="24"/>
        </w:rPr>
        <w:t>项目合伙人、签字注册会计师和项目质量控制复核人的基本</w:t>
      </w:r>
      <w:r>
        <w:rPr>
          <w:rFonts w:ascii="宋体" w:hAnsi="宋体"/>
          <w:sz w:val="24"/>
        </w:rPr>
        <w:t>信息如下：</w:t>
      </w:r>
    </w:p>
    <w:p w:rsidR="0058299D" w:rsidRDefault="00A87FD7" w:rsidP="00D23867">
      <w:pPr>
        <w:spacing w:line="440" w:lineRule="exact"/>
        <w:ind w:firstLineChars="200" w:firstLine="480"/>
        <w:rPr>
          <w:rFonts w:ascii="宋体" w:hAnsi="宋体"/>
          <w:sz w:val="24"/>
        </w:rPr>
      </w:pPr>
      <w:r>
        <w:rPr>
          <w:rFonts w:ascii="宋体" w:hAnsi="宋体" w:hint="eastAsia"/>
          <w:sz w:val="24"/>
        </w:rPr>
        <w:t>项目合伙人陈思杰，2000年取得中国注册会计师资格。陈思杰1996年开始在毕马威华振执业，2000年开始从事上市公司审计，从20</w:t>
      </w:r>
      <w:r>
        <w:rPr>
          <w:rFonts w:ascii="宋体" w:hAnsi="宋体"/>
          <w:sz w:val="24"/>
        </w:rPr>
        <w:t>19</w:t>
      </w:r>
      <w:r>
        <w:rPr>
          <w:rFonts w:ascii="宋体" w:hAnsi="宋体" w:hint="eastAsia"/>
          <w:sz w:val="24"/>
        </w:rPr>
        <w:t>年开始为本公司提供审计服务。陈思杰近三年签署或复核上市公司审计报告</w:t>
      </w:r>
      <w:r>
        <w:rPr>
          <w:rFonts w:ascii="宋体" w:hAnsi="宋体"/>
          <w:sz w:val="24"/>
        </w:rPr>
        <w:t>8</w:t>
      </w:r>
      <w:r>
        <w:rPr>
          <w:rFonts w:ascii="宋体" w:hAnsi="宋体" w:hint="eastAsia"/>
          <w:sz w:val="24"/>
        </w:rPr>
        <w:t>份。</w:t>
      </w:r>
    </w:p>
    <w:p w:rsidR="0058299D" w:rsidRDefault="00A87FD7" w:rsidP="00D23867">
      <w:pPr>
        <w:spacing w:line="440" w:lineRule="exact"/>
        <w:ind w:firstLineChars="200" w:firstLine="480"/>
        <w:rPr>
          <w:rFonts w:ascii="宋体" w:hAnsi="宋体"/>
          <w:sz w:val="24"/>
        </w:rPr>
      </w:pPr>
      <w:r>
        <w:rPr>
          <w:rFonts w:ascii="宋体" w:hAnsi="宋体" w:hint="eastAsia"/>
          <w:sz w:val="24"/>
        </w:rPr>
        <w:t>签字</w:t>
      </w:r>
      <w:r>
        <w:rPr>
          <w:rFonts w:ascii="宋体" w:hAnsi="宋体"/>
          <w:sz w:val="24"/>
        </w:rPr>
        <w:t>注册会计师</w:t>
      </w:r>
      <w:r>
        <w:rPr>
          <w:rFonts w:ascii="宋体" w:hAnsi="宋体" w:hint="eastAsia"/>
          <w:sz w:val="24"/>
        </w:rPr>
        <w:t>吴钟鸣</w:t>
      </w:r>
      <w:r>
        <w:rPr>
          <w:rFonts w:ascii="宋体" w:hAnsi="宋体"/>
          <w:sz w:val="24"/>
        </w:rPr>
        <w:t>，</w:t>
      </w:r>
      <w:r>
        <w:rPr>
          <w:rFonts w:ascii="宋体" w:hAnsi="宋体" w:hint="eastAsia"/>
          <w:sz w:val="24"/>
        </w:rPr>
        <w:t>2</w:t>
      </w:r>
      <w:r>
        <w:rPr>
          <w:rFonts w:ascii="宋体" w:hAnsi="宋体"/>
          <w:sz w:val="24"/>
        </w:rPr>
        <w:t>012</w:t>
      </w:r>
      <w:r>
        <w:rPr>
          <w:rFonts w:ascii="宋体" w:hAnsi="宋体" w:hint="eastAsia"/>
          <w:sz w:val="24"/>
        </w:rPr>
        <w:t>年取得中国注册会计师资格。吴钟鸣2</w:t>
      </w:r>
      <w:r>
        <w:rPr>
          <w:rFonts w:ascii="宋体" w:hAnsi="宋体"/>
          <w:sz w:val="24"/>
        </w:rPr>
        <w:t>003</w:t>
      </w:r>
      <w:r>
        <w:rPr>
          <w:rFonts w:ascii="宋体" w:hAnsi="宋体" w:hint="eastAsia"/>
          <w:sz w:val="24"/>
        </w:rPr>
        <w:t>年开始在毕马威华振执业，2</w:t>
      </w:r>
      <w:r>
        <w:rPr>
          <w:rFonts w:ascii="宋体" w:hAnsi="宋体"/>
          <w:sz w:val="24"/>
        </w:rPr>
        <w:t>012</w:t>
      </w:r>
      <w:r>
        <w:rPr>
          <w:rFonts w:ascii="宋体" w:hAnsi="宋体" w:hint="eastAsia"/>
          <w:sz w:val="24"/>
        </w:rPr>
        <w:t>年开始从事上市公司审计，从2</w:t>
      </w:r>
      <w:r>
        <w:rPr>
          <w:rFonts w:ascii="宋体" w:hAnsi="宋体"/>
          <w:sz w:val="24"/>
        </w:rPr>
        <w:t>021</w:t>
      </w:r>
      <w:r>
        <w:rPr>
          <w:rFonts w:ascii="宋体" w:hAnsi="宋体" w:hint="eastAsia"/>
          <w:sz w:val="24"/>
        </w:rPr>
        <w:t>年开始为本公司提供审计服务。吴钟鸣近三年签署或复核上市公司审计报告</w:t>
      </w:r>
      <w:r>
        <w:rPr>
          <w:rFonts w:ascii="宋体" w:hAnsi="宋体"/>
          <w:sz w:val="24"/>
        </w:rPr>
        <w:t>2</w:t>
      </w:r>
      <w:r>
        <w:rPr>
          <w:rFonts w:ascii="宋体" w:hAnsi="宋体" w:hint="eastAsia"/>
          <w:sz w:val="24"/>
        </w:rPr>
        <w:t>份。</w:t>
      </w:r>
    </w:p>
    <w:p w:rsidR="0058299D" w:rsidRDefault="00A87FD7" w:rsidP="00D23867">
      <w:pPr>
        <w:spacing w:line="440" w:lineRule="exact"/>
        <w:ind w:firstLineChars="200" w:firstLine="480"/>
        <w:rPr>
          <w:rFonts w:ascii="宋体" w:hAnsi="宋体"/>
          <w:sz w:val="24"/>
        </w:rPr>
      </w:pPr>
      <w:r>
        <w:rPr>
          <w:rFonts w:ascii="宋体" w:hAnsi="宋体" w:hint="eastAsia"/>
          <w:sz w:val="24"/>
        </w:rPr>
        <w:t>质量控制复核</w:t>
      </w:r>
      <w:proofErr w:type="gramStart"/>
      <w:r>
        <w:rPr>
          <w:rFonts w:ascii="宋体" w:hAnsi="宋体" w:hint="eastAsia"/>
          <w:sz w:val="24"/>
        </w:rPr>
        <w:t>人宋晨阳</w:t>
      </w:r>
      <w:proofErr w:type="gramEnd"/>
      <w:r>
        <w:rPr>
          <w:rFonts w:ascii="宋体" w:hAnsi="宋体" w:hint="eastAsia"/>
          <w:sz w:val="24"/>
        </w:rPr>
        <w:t>，中国注册会计师协会执业会员。</w:t>
      </w:r>
      <w:proofErr w:type="gramStart"/>
      <w:r>
        <w:rPr>
          <w:rFonts w:ascii="宋体" w:hAnsi="宋体" w:hint="eastAsia"/>
          <w:sz w:val="24"/>
        </w:rPr>
        <w:t>宋晨阳</w:t>
      </w:r>
      <w:proofErr w:type="gramEnd"/>
      <w:r>
        <w:rPr>
          <w:rFonts w:ascii="宋体" w:hAnsi="宋体" w:hint="eastAsia"/>
          <w:sz w:val="24"/>
        </w:rPr>
        <w:t>1993年开始在毕马威华振从事上市公司审计，并于2019年开始为本公司提供审计服务，近三年签署或复核多家上市公司审计报告。</w:t>
      </w:r>
    </w:p>
    <w:p w:rsidR="0058299D" w:rsidRDefault="00A87FD7" w:rsidP="00D23867">
      <w:pPr>
        <w:pStyle w:val="af0"/>
        <w:adjustRightInd w:val="0"/>
        <w:snapToGrid w:val="0"/>
        <w:spacing w:line="440" w:lineRule="exact"/>
        <w:ind w:hanging="340"/>
        <w:contextualSpacing w:val="0"/>
        <w:rPr>
          <w:rFonts w:asciiTheme="majorEastAsia" w:eastAsiaTheme="majorEastAsia" w:hAnsiTheme="majorEastAsia"/>
          <w:sz w:val="24"/>
        </w:rPr>
      </w:pPr>
      <w:r>
        <w:rPr>
          <w:rFonts w:asciiTheme="majorEastAsia" w:eastAsiaTheme="majorEastAsia" w:hAnsiTheme="majorEastAsia" w:hint="eastAsia"/>
          <w:sz w:val="24"/>
        </w:rPr>
        <w:t>2．诚信记录</w:t>
      </w:r>
    </w:p>
    <w:p w:rsidR="0058299D" w:rsidRDefault="00A87FD7" w:rsidP="00D23867">
      <w:pPr>
        <w:spacing w:line="440" w:lineRule="exact"/>
        <w:ind w:firstLineChars="200" w:firstLine="480"/>
        <w:rPr>
          <w:rFonts w:ascii="宋体" w:hAnsi="宋体"/>
          <w:sz w:val="24"/>
        </w:rPr>
      </w:pPr>
      <w:r>
        <w:rPr>
          <w:rFonts w:ascii="宋体" w:hAnsi="宋体" w:hint="eastAsia"/>
          <w:sz w:val="24"/>
        </w:rPr>
        <w:t>项目合伙人、签字注册会计师和项目质量控制复核人最近三年均未因执业行为受到任何刑事处罚、行政处罚，或证监会及其派出机构的行政监管措施，或证券交</w:t>
      </w:r>
      <w:r>
        <w:rPr>
          <w:rFonts w:ascii="宋体" w:hAnsi="宋体" w:hint="eastAsia"/>
          <w:sz w:val="24"/>
        </w:rPr>
        <w:lastRenderedPageBreak/>
        <w:t>易所、行业协会等自律组织的自律监管措施或纪律处分。</w:t>
      </w:r>
    </w:p>
    <w:p w:rsidR="0058299D" w:rsidRDefault="00A87FD7" w:rsidP="00D23867">
      <w:pPr>
        <w:pStyle w:val="af0"/>
        <w:adjustRightInd w:val="0"/>
        <w:snapToGrid w:val="0"/>
        <w:spacing w:line="440" w:lineRule="exact"/>
        <w:ind w:hanging="340"/>
        <w:contextualSpacing w:val="0"/>
        <w:rPr>
          <w:rFonts w:asciiTheme="majorEastAsia" w:eastAsiaTheme="majorEastAsia" w:hAnsiTheme="majorEastAsia"/>
          <w:sz w:val="24"/>
        </w:rPr>
      </w:pPr>
      <w:r>
        <w:rPr>
          <w:rFonts w:asciiTheme="majorEastAsia" w:eastAsiaTheme="majorEastAsia" w:hAnsiTheme="majorEastAsia" w:hint="eastAsia"/>
          <w:sz w:val="24"/>
        </w:rPr>
        <w:t>3．独立性</w:t>
      </w:r>
    </w:p>
    <w:p w:rsidR="0058299D" w:rsidRDefault="00A87FD7" w:rsidP="00D23867">
      <w:pPr>
        <w:spacing w:line="440" w:lineRule="exact"/>
        <w:ind w:firstLineChars="200" w:firstLine="480"/>
        <w:rPr>
          <w:rFonts w:ascii="宋体" w:hAnsi="宋体"/>
          <w:sz w:val="24"/>
        </w:rPr>
      </w:pPr>
      <w:r>
        <w:rPr>
          <w:rFonts w:ascii="宋体" w:hAnsi="宋体" w:hint="eastAsia"/>
          <w:sz w:val="24"/>
        </w:rPr>
        <w:t>毕马威华振及项目合伙人、签字注册会计师、项目质量控制复核人按照职业道德守则的规定保持了独立性。</w:t>
      </w:r>
    </w:p>
    <w:bookmarkEnd w:id="5"/>
    <w:p w:rsidR="0058299D" w:rsidRDefault="00A87FD7" w:rsidP="00D23867">
      <w:pPr>
        <w:pStyle w:val="af0"/>
        <w:adjustRightInd w:val="0"/>
        <w:snapToGrid w:val="0"/>
        <w:spacing w:line="440" w:lineRule="exact"/>
        <w:ind w:hanging="340"/>
        <w:contextualSpacing w:val="0"/>
        <w:rPr>
          <w:rFonts w:asciiTheme="majorEastAsia" w:eastAsiaTheme="majorEastAsia" w:hAnsiTheme="majorEastAsia"/>
          <w:sz w:val="24"/>
        </w:rPr>
      </w:pPr>
      <w:r>
        <w:rPr>
          <w:rFonts w:asciiTheme="majorEastAsia" w:eastAsiaTheme="majorEastAsia" w:hAnsiTheme="majorEastAsia" w:hint="eastAsia"/>
          <w:sz w:val="24"/>
        </w:rPr>
        <w:t>4．审计收费</w:t>
      </w:r>
    </w:p>
    <w:p w:rsidR="0058299D" w:rsidRDefault="00A87FD7" w:rsidP="00D23867">
      <w:pPr>
        <w:spacing w:line="440" w:lineRule="exact"/>
        <w:ind w:firstLineChars="200" w:firstLine="480"/>
        <w:rPr>
          <w:rFonts w:ascii="宋体" w:hAnsi="宋体"/>
          <w:sz w:val="24"/>
        </w:rPr>
      </w:pPr>
      <w:r>
        <w:rPr>
          <w:rFonts w:ascii="宋体" w:hAnsi="宋体"/>
          <w:sz w:val="24"/>
        </w:rPr>
        <w:t>毕马威华振的审计服务收费是按照业务的责任轻重、繁简程度、工作要求、所需的工作条件和工时及实际参加业务的各级别工作人员投入的专业知识和工作经验等因素确定。</w:t>
      </w:r>
      <w:r>
        <w:rPr>
          <w:rFonts w:ascii="宋体" w:hAnsi="宋体" w:hint="eastAsia"/>
          <w:sz w:val="24"/>
        </w:rPr>
        <w:t>202</w:t>
      </w:r>
      <w:r>
        <w:rPr>
          <w:rFonts w:ascii="宋体" w:hAnsi="宋体"/>
          <w:sz w:val="24"/>
        </w:rPr>
        <w:t>2年度本项目的审计收</w:t>
      </w:r>
      <w:r>
        <w:rPr>
          <w:rFonts w:ascii="宋体" w:hAnsi="宋体" w:hint="eastAsia"/>
          <w:sz w:val="24"/>
        </w:rPr>
        <w:t>费为人民币</w:t>
      </w:r>
      <w:r>
        <w:rPr>
          <w:rFonts w:ascii="宋体" w:hAnsi="宋体"/>
          <w:sz w:val="24"/>
        </w:rPr>
        <w:t>885</w:t>
      </w:r>
      <w:r>
        <w:rPr>
          <w:rFonts w:ascii="宋体" w:hAnsi="宋体" w:hint="eastAsia"/>
          <w:sz w:val="24"/>
        </w:rPr>
        <w:t>万元，较上一年审计费用增加</w:t>
      </w:r>
      <w:r>
        <w:rPr>
          <w:rFonts w:ascii="宋体" w:hAnsi="宋体"/>
          <w:sz w:val="24"/>
        </w:rPr>
        <w:t>5%</w:t>
      </w:r>
      <w:r>
        <w:rPr>
          <w:rFonts w:ascii="宋体" w:hAnsi="宋体" w:hint="eastAsia"/>
          <w:sz w:val="24"/>
        </w:rPr>
        <w:t>。</w:t>
      </w:r>
    </w:p>
    <w:p w:rsidR="0058299D" w:rsidRDefault="00A87FD7" w:rsidP="00D23867">
      <w:pPr>
        <w:spacing w:line="440" w:lineRule="exact"/>
        <w:ind w:firstLineChars="200" w:firstLine="482"/>
        <w:rPr>
          <w:rFonts w:ascii="宋体" w:hAnsi="宋体"/>
          <w:b/>
          <w:sz w:val="24"/>
        </w:rPr>
      </w:pPr>
      <w:r>
        <w:rPr>
          <w:rFonts w:ascii="宋体" w:hAnsi="宋体" w:hint="eastAsia"/>
          <w:b/>
          <w:sz w:val="24"/>
        </w:rPr>
        <w:t>二、本公司履行的决策程序</w:t>
      </w:r>
    </w:p>
    <w:p w:rsidR="0058299D" w:rsidRDefault="00A87FD7" w:rsidP="00D23867">
      <w:pPr>
        <w:spacing w:line="440" w:lineRule="exact"/>
        <w:ind w:firstLineChars="200" w:firstLine="480"/>
        <w:rPr>
          <w:rFonts w:ascii="宋体" w:hAnsi="宋体"/>
          <w:sz w:val="24"/>
        </w:rPr>
      </w:pPr>
      <w:r>
        <w:rPr>
          <w:rFonts w:ascii="宋体" w:hAnsi="宋体" w:hint="eastAsia"/>
          <w:sz w:val="24"/>
        </w:rPr>
        <w:t>（一）本公司第十届董事会审计与关联交易控制委员会第五次会议审议通过了《关于聘请</w:t>
      </w:r>
      <w:r>
        <w:rPr>
          <w:rFonts w:ascii="宋体" w:hAnsi="宋体"/>
          <w:sz w:val="24"/>
        </w:rPr>
        <w:t>2022</w:t>
      </w:r>
      <w:r>
        <w:rPr>
          <w:rFonts w:ascii="宋体" w:hAnsi="宋体" w:hint="eastAsia"/>
          <w:sz w:val="24"/>
        </w:rPr>
        <w:t>年度会计师事务所的议案》，董事会审计与关联交易控制委员会委员认为毕马威华振在执业资质、专业胜任能力、投资者保护能力、独立性和诚信状况等方面符合监管规定，并同意将该议案提交董事会审议。</w:t>
      </w:r>
    </w:p>
    <w:p w:rsidR="0058299D" w:rsidRDefault="00A87FD7" w:rsidP="00D23867">
      <w:pPr>
        <w:spacing w:line="440" w:lineRule="exact"/>
        <w:ind w:firstLineChars="200" w:firstLine="480"/>
        <w:rPr>
          <w:rFonts w:ascii="宋体" w:hAnsi="宋体"/>
          <w:sz w:val="24"/>
        </w:rPr>
      </w:pPr>
      <w:r>
        <w:rPr>
          <w:rFonts w:ascii="宋体" w:hAnsi="宋体" w:hint="eastAsia"/>
          <w:sz w:val="24"/>
        </w:rPr>
        <w:t>（二）本公司全体独立董事已就本次聘请会计师事务所事项发表了事前认可意见，同意按照公司治理相关程序，将相关议案提交公司董事会审议，并发表独立意见如下：</w:t>
      </w:r>
    </w:p>
    <w:p w:rsidR="0058299D" w:rsidRDefault="00A87FD7" w:rsidP="00D23867">
      <w:pPr>
        <w:spacing w:line="440" w:lineRule="exact"/>
        <w:ind w:firstLineChars="200" w:firstLine="480"/>
        <w:rPr>
          <w:rFonts w:ascii="宋体" w:hAnsi="宋体"/>
          <w:sz w:val="24"/>
        </w:rPr>
      </w:pPr>
      <w:r>
        <w:rPr>
          <w:rFonts w:ascii="宋体" w:hAnsi="宋体" w:hint="eastAsia"/>
          <w:sz w:val="24"/>
        </w:rPr>
        <w:t>毕马威华振在执业资质、专业胜任能力、投资者保护能力、独立性和诚信状况等方面符合监管规定。聘请毕马威华振为公司</w:t>
      </w:r>
      <w:r>
        <w:rPr>
          <w:rFonts w:ascii="宋体" w:hAnsi="宋体"/>
          <w:sz w:val="24"/>
        </w:rPr>
        <w:t>202</w:t>
      </w:r>
      <w:r>
        <w:rPr>
          <w:rFonts w:ascii="宋体" w:hAnsi="宋体" w:hint="eastAsia"/>
          <w:sz w:val="24"/>
        </w:rPr>
        <w:t>2年度会计师事务所的选聘决策程序充分、恰当，符合有关法律法规和本公司章程的有关规定，同意将该事项提交股东大会审议。</w:t>
      </w:r>
    </w:p>
    <w:p w:rsidR="0058299D" w:rsidRDefault="00A87FD7" w:rsidP="00D23867">
      <w:pPr>
        <w:spacing w:line="440" w:lineRule="exact"/>
        <w:ind w:firstLineChars="200" w:firstLine="480"/>
        <w:rPr>
          <w:rFonts w:ascii="宋体" w:hAnsi="宋体"/>
          <w:sz w:val="24"/>
        </w:rPr>
      </w:pPr>
      <w:r>
        <w:rPr>
          <w:rFonts w:ascii="宋体" w:hAnsi="宋体" w:hint="eastAsia"/>
          <w:sz w:val="24"/>
        </w:rPr>
        <w:t>（三）本公司第十届董事会第五次会议审议通过了《关于聘请</w:t>
      </w:r>
      <w:r>
        <w:rPr>
          <w:rFonts w:ascii="宋体" w:hAnsi="宋体"/>
          <w:sz w:val="24"/>
        </w:rPr>
        <w:t>2022</w:t>
      </w:r>
      <w:r>
        <w:rPr>
          <w:rFonts w:ascii="宋体" w:hAnsi="宋体" w:hint="eastAsia"/>
          <w:sz w:val="24"/>
        </w:rPr>
        <w:t>年度会计师事务所的议案》，表决结果：</w:t>
      </w:r>
      <w:r>
        <w:rPr>
          <w:rFonts w:ascii="宋体" w:hAnsi="宋体"/>
          <w:sz w:val="24"/>
        </w:rPr>
        <w:t>1</w:t>
      </w:r>
      <w:r>
        <w:rPr>
          <w:rFonts w:ascii="宋体" w:hAnsi="宋体" w:hint="eastAsia"/>
          <w:sz w:val="24"/>
        </w:rPr>
        <w:t>3票同意、</w:t>
      </w:r>
      <w:r>
        <w:rPr>
          <w:rFonts w:ascii="宋体" w:hAnsi="宋体"/>
          <w:sz w:val="24"/>
        </w:rPr>
        <w:t>0</w:t>
      </w:r>
      <w:r>
        <w:rPr>
          <w:rFonts w:ascii="宋体" w:hAnsi="宋体" w:hint="eastAsia"/>
          <w:sz w:val="24"/>
        </w:rPr>
        <w:t>票反对、</w:t>
      </w:r>
      <w:r>
        <w:rPr>
          <w:rFonts w:ascii="宋体" w:hAnsi="宋体"/>
          <w:sz w:val="24"/>
        </w:rPr>
        <w:t>0</w:t>
      </w:r>
      <w:r>
        <w:rPr>
          <w:rFonts w:ascii="宋体" w:hAnsi="宋体" w:hint="eastAsia"/>
          <w:sz w:val="24"/>
        </w:rPr>
        <w:t>票弃权。</w:t>
      </w:r>
    </w:p>
    <w:p w:rsidR="0058299D" w:rsidRDefault="00A87FD7" w:rsidP="00D23867">
      <w:pPr>
        <w:spacing w:line="440" w:lineRule="exact"/>
        <w:ind w:firstLineChars="200" w:firstLine="480"/>
        <w:rPr>
          <w:rFonts w:ascii="宋体" w:hAnsi="宋体"/>
          <w:sz w:val="24"/>
        </w:rPr>
      </w:pPr>
      <w:r>
        <w:rPr>
          <w:rFonts w:ascii="宋体" w:hAnsi="宋体" w:hint="eastAsia"/>
          <w:sz w:val="24"/>
        </w:rPr>
        <w:t>（四）本次续聘会计师事务所事项尚需提交</w:t>
      </w:r>
      <w:r>
        <w:rPr>
          <w:rFonts w:ascii="宋体" w:hAnsi="宋体"/>
          <w:sz w:val="24"/>
        </w:rPr>
        <w:t>20</w:t>
      </w:r>
      <w:r>
        <w:rPr>
          <w:rFonts w:ascii="宋体" w:hAnsi="宋体" w:hint="eastAsia"/>
          <w:sz w:val="24"/>
        </w:rPr>
        <w:t>2</w:t>
      </w:r>
      <w:r>
        <w:rPr>
          <w:rFonts w:ascii="宋体" w:hAnsi="宋体"/>
          <w:sz w:val="24"/>
        </w:rPr>
        <w:t>1</w:t>
      </w:r>
      <w:r>
        <w:rPr>
          <w:rFonts w:ascii="宋体" w:hAnsi="宋体" w:hint="eastAsia"/>
          <w:sz w:val="24"/>
        </w:rPr>
        <w:t>年年度股东大会审议，并自股东大会审议通过之日起生效。</w:t>
      </w:r>
    </w:p>
    <w:p w:rsidR="0058299D" w:rsidRDefault="00A87FD7" w:rsidP="00D23867">
      <w:pPr>
        <w:spacing w:line="440" w:lineRule="exact"/>
        <w:ind w:firstLineChars="200" w:firstLine="480"/>
        <w:rPr>
          <w:rFonts w:ascii="宋体" w:hAnsi="宋体"/>
          <w:sz w:val="24"/>
        </w:rPr>
      </w:pPr>
      <w:r>
        <w:rPr>
          <w:rFonts w:ascii="宋体" w:hAnsi="宋体"/>
          <w:sz w:val="24"/>
        </w:rPr>
        <w:t>特此公告。</w:t>
      </w:r>
    </w:p>
    <w:p w:rsidR="0058299D" w:rsidRDefault="0058299D" w:rsidP="00D23867">
      <w:pPr>
        <w:spacing w:line="440" w:lineRule="exact"/>
        <w:rPr>
          <w:rFonts w:ascii="宋体" w:hAnsi="宋体"/>
          <w:sz w:val="24"/>
        </w:rPr>
      </w:pPr>
    </w:p>
    <w:p w:rsidR="0058299D" w:rsidRDefault="00A87FD7">
      <w:pPr>
        <w:pStyle w:val="Default"/>
        <w:spacing w:line="360" w:lineRule="auto"/>
        <w:ind w:firstLine="480"/>
        <w:jc w:val="right"/>
        <w:rPr>
          <w:rFonts w:hAnsi="宋体" w:cs="Times New Roman"/>
        </w:rPr>
      </w:pPr>
      <w:r>
        <w:rPr>
          <w:rFonts w:hAnsi="宋体" w:cs="Times New Roman" w:hint="eastAsia"/>
        </w:rPr>
        <w:t>兴业</w:t>
      </w:r>
      <w:r>
        <w:rPr>
          <w:rFonts w:hAnsi="宋体" w:cs="Times New Roman"/>
        </w:rPr>
        <w:t>银行股份有限公司董事会</w:t>
      </w:r>
    </w:p>
    <w:p w:rsidR="0058299D" w:rsidRDefault="00A87FD7">
      <w:pPr>
        <w:snapToGrid w:val="0"/>
        <w:spacing w:line="360" w:lineRule="auto"/>
        <w:rPr>
          <w:rFonts w:ascii="Arial" w:eastAsia="微软雅黑" w:hAnsi="Arial" w:cs="Arial"/>
          <w:sz w:val="24"/>
          <w:lang w:val="en-GB"/>
        </w:rPr>
      </w:pPr>
      <w:r>
        <w:rPr>
          <w:rFonts w:hAnsi="宋体" w:hint="eastAsia"/>
        </w:rPr>
        <w:t xml:space="preserve">                                                                                                           </w:t>
      </w:r>
      <w:r>
        <w:rPr>
          <w:rFonts w:ascii="宋体" w:hAnsi="宋体" w:hint="eastAsia"/>
          <w:color w:val="000000"/>
          <w:kern w:val="0"/>
          <w:sz w:val="24"/>
        </w:rPr>
        <w:t xml:space="preserve">   202</w:t>
      </w:r>
      <w:r>
        <w:rPr>
          <w:rFonts w:ascii="宋体" w:hAnsi="宋体"/>
          <w:color w:val="000000"/>
          <w:kern w:val="0"/>
          <w:sz w:val="24"/>
        </w:rPr>
        <w:t>2年</w:t>
      </w:r>
      <w:r>
        <w:rPr>
          <w:rFonts w:ascii="宋体" w:hAnsi="宋体" w:hint="eastAsia"/>
          <w:color w:val="000000"/>
          <w:kern w:val="0"/>
          <w:sz w:val="24"/>
        </w:rPr>
        <w:t>3</w:t>
      </w:r>
      <w:r>
        <w:rPr>
          <w:rFonts w:ascii="宋体" w:hAnsi="宋体"/>
          <w:color w:val="000000"/>
          <w:kern w:val="0"/>
          <w:sz w:val="24"/>
        </w:rPr>
        <w:t>月2</w:t>
      </w:r>
      <w:r>
        <w:rPr>
          <w:rFonts w:ascii="宋体" w:hAnsi="宋体" w:hint="eastAsia"/>
          <w:color w:val="000000"/>
          <w:kern w:val="0"/>
          <w:sz w:val="24"/>
        </w:rPr>
        <w:t>4</w:t>
      </w:r>
      <w:r>
        <w:rPr>
          <w:rFonts w:ascii="宋体" w:hAnsi="宋体"/>
          <w:color w:val="000000"/>
          <w:kern w:val="0"/>
          <w:sz w:val="24"/>
        </w:rPr>
        <w:t>日</w:t>
      </w:r>
      <w:r>
        <w:rPr>
          <w:rFonts w:ascii="宋体" w:hAnsi="宋体" w:hint="eastAsia"/>
          <w:color w:val="000000"/>
          <w:kern w:val="0"/>
          <w:sz w:val="24"/>
        </w:rPr>
        <w:t xml:space="preserve">         </w:t>
      </w:r>
      <w:r>
        <w:rPr>
          <w:rFonts w:hAnsi="宋体" w:hint="eastAsia"/>
        </w:rPr>
        <w:t xml:space="preserve">  </w:t>
      </w:r>
      <w:bookmarkStart w:id="6" w:name="_DV_M117"/>
      <w:bookmarkStart w:id="7" w:name="_DV_M116"/>
      <w:bookmarkStart w:id="8" w:name="_DV_M118"/>
      <w:bookmarkStart w:id="9" w:name="_DV_M119"/>
      <w:bookmarkStart w:id="10" w:name="_DV_M277"/>
      <w:bookmarkStart w:id="11" w:name="_DV_M278"/>
      <w:bookmarkStart w:id="12" w:name="_DV_M280"/>
      <w:bookmarkStart w:id="13" w:name="_DV_M282"/>
      <w:bookmarkStart w:id="14" w:name="_DV_M284"/>
      <w:bookmarkEnd w:id="6"/>
      <w:bookmarkEnd w:id="7"/>
      <w:bookmarkEnd w:id="8"/>
      <w:bookmarkEnd w:id="9"/>
      <w:bookmarkEnd w:id="10"/>
      <w:bookmarkEnd w:id="11"/>
      <w:bookmarkEnd w:id="12"/>
      <w:bookmarkEnd w:id="13"/>
      <w:bookmarkEnd w:id="14"/>
    </w:p>
    <w:sectPr w:rsidR="0058299D">
      <w:footerReference w:type="default" r:id="rId13"/>
      <w:pgSz w:w="11906" w:h="16838"/>
      <w:pgMar w:top="1803" w:right="1588"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32" w:rsidRDefault="00D56F32">
      <w:r>
        <w:separator/>
      </w:r>
    </w:p>
  </w:endnote>
  <w:endnote w:type="continuationSeparator" w:id="0">
    <w:p w:rsidR="00D56F32" w:rsidRDefault="00D5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63221"/>
      <w:docPartObj>
        <w:docPartGallery w:val="AutoText"/>
      </w:docPartObj>
    </w:sdtPr>
    <w:sdtEndPr/>
    <w:sdtContent>
      <w:p w:rsidR="0058299D" w:rsidRDefault="00A87FD7">
        <w:pPr>
          <w:pStyle w:val="a6"/>
          <w:jc w:val="center"/>
        </w:pPr>
        <w:r>
          <w:fldChar w:fldCharType="begin"/>
        </w:r>
        <w:r>
          <w:instrText>PAGE   \* MERGEFORMAT</w:instrText>
        </w:r>
        <w:r>
          <w:fldChar w:fldCharType="separate"/>
        </w:r>
        <w:r w:rsidR="00353FBF" w:rsidRPr="00353FBF">
          <w:rPr>
            <w:noProof/>
            <w:lang w:val="zh-CN"/>
          </w:rPr>
          <w:t>3</w:t>
        </w:r>
        <w:r>
          <w:fldChar w:fldCharType="end"/>
        </w:r>
      </w:p>
    </w:sdtContent>
  </w:sdt>
  <w:p w:rsidR="0058299D" w:rsidRDefault="0058299D">
    <w:pPr>
      <w:pStyle w:val="a6"/>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32" w:rsidRDefault="00D56F32">
      <w:r>
        <w:separator/>
      </w:r>
    </w:p>
  </w:footnote>
  <w:footnote w:type="continuationSeparator" w:id="0">
    <w:p w:rsidR="00D56F32" w:rsidRDefault="00D56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4EB8"/>
    <w:multiLevelType w:val="multilevel"/>
    <w:tmpl w:val="0E394EB8"/>
    <w:lvl w:ilvl="0">
      <w:start w:val="1"/>
      <w:numFmt w:val="japaneseCounting"/>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DD4524"/>
    <w:multiLevelType w:val="hybridMultilevel"/>
    <w:tmpl w:val="95901872"/>
    <w:lvl w:ilvl="0" w:tplc="621405B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6035293E"/>
    <w:multiLevelType w:val="multilevel"/>
    <w:tmpl w:val="6035293E"/>
    <w:lvl w:ilvl="0">
      <w:start w:val="1"/>
      <w:numFmt w:val="japaneseCounting"/>
      <w:lvlText w:val="（%1）"/>
      <w:lvlJc w:val="left"/>
      <w:pPr>
        <w:ind w:left="1713" w:hanging="720"/>
      </w:pPr>
      <w:rPr>
        <w:rFonts w:ascii="宋体" w:eastAsia="宋体" w:hAnsi="宋体" w:cs="Times New Roman" w:hint="default"/>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FB"/>
    <w:rsid w:val="000008CE"/>
    <w:rsid w:val="00001938"/>
    <w:rsid w:val="000142B4"/>
    <w:rsid w:val="00015277"/>
    <w:rsid w:val="0001629E"/>
    <w:rsid w:val="00021681"/>
    <w:rsid w:val="000241FB"/>
    <w:rsid w:val="00024CB6"/>
    <w:rsid w:val="00031B36"/>
    <w:rsid w:val="00032785"/>
    <w:rsid w:val="000357A8"/>
    <w:rsid w:val="00037655"/>
    <w:rsid w:val="00040808"/>
    <w:rsid w:val="00043641"/>
    <w:rsid w:val="0005172D"/>
    <w:rsid w:val="00051DAF"/>
    <w:rsid w:val="0005335D"/>
    <w:rsid w:val="00053E83"/>
    <w:rsid w:val="0005403A"/>
    <w:rsid w:val="00057139"/>
    <w:rsid w:val="00067320"/>
    <w:rsid w:val="000718A3"/>
    <w:rsid w:val="00073E7D"/>
    <w:rsid w:val="00074021"/>
    <w:rsid w:val="000748EA"/>
    <w:rsid w:val="000843CF"/>
    <w:rsid w:val="00084EB9"/>
    <w:rsid w:val="0009290E"/>
    <w:rsid w:val="00093A72"/>
    <w:rsid w:val="00094E8D"/>
    <w:rsid w:val="000953E7"/>
    <w:rsid w:val="00096E70"/>
    <w:rsid w:val="000A1BA6"/>
    <w:rsid w:val="000A38FA"/>
    <w:rsid w:val="000A5357"/>
    <w:rsid w:val="000A5764"/>
    <w:rsid w:val="000A5E4F"/>
    <w:rsid w:val="000B1644"/>
    <w:rsid w:val="000B2360"/>
    <w:rsid w:val="000B335B"/>
    <w:rsid w:val="000B4612"/>
    <w:rsid w:val="000B71C0"/>
    <w:rsid w:val="000C0496"/>
    <w:rsid w:val="000C17B5"/>
    <w:rsid w:val="000C5147"/>
    <w:rsid w:val="000C5F53"/>
    <w:rsid w:val="000C78DC"/>
    <w:rsid w:val="000D31D3"/>
    <w:rsid w:val="000D35B1"/>
    <w:rsid w:val="000E11F7"/>
    <w:rsid w:val="000E754A"/>
    <w:rsid w:val="000F05D8"/>
    <w:rsid w:val="000F2E80"/>
    <w:rsid w:val="000F4C80"/>
    <w:rsid w:val="000F667E"/>
    <w:rsid w:val="000F7150"/>
    <w:rsid w:val="000F74A0"/>
    <w:rsid w:val="00100DF9"/>
    <w:rsid w:val="00101680"/>
    <w:rsid w:val="00103490"/>
    <w:rsid w:val="001050E7"/>
    <w:rsid w:val="00111596"/>
    <w:rsid w:val="00113C64"/>
    <w:rsid w:val="0011579D"/>
    <w:rsid w:val="001171FB"/>
    <w:rsid w:val="001252C0"/>
    <w:rsid w:val="0012530B"/>
    <w:rsid w:val="00126033"/>
    <w:rsid w:val="00134954"/>
    <w:rsid w:val="00137CB2"/>
    <w:rsid w:val="00143625"/>
    <w:rsid w:val="00147043"/>
    <w:rsid w:val="00150D83"/>
    <w:rsid w:val="00153668"/>
    <w:rsid w:val="00155145"/>
    <w:rsid w:val="0016266E"/>
    <w:rsid w:val="001633C9"/>
    <w:rsid w:val="00164A3E"/>
    <w:rsid w:val="00164EAB"/>
    <w:rsid w:val="00164F48"/>
    <w:rsid w:val="0016592A"/>
    <w:rsid w:val="00167645"/>
    <w:rsid w:val="00170F4F"/>
    <w:rsid w:val="0017256B"/>
    <w:rsid w:val="00172951"/>
    <w:rsid w:val="00173D56"/>
    <w:rsid w:val="0017480C"/>
    <w:rsid w:val="001766A5"/>
    <w:rsid w:val="001777F8"/>
    <w:rsid w:val="00181D4B"/>
    <w:rsid w:val="00182895"/>
    <w:rsid w:val="00182BF5"/>
    <w:rsid w:val="0018485F"/>
    <w:rsid w:val="001868D9"/>
    <w:rsid w:val="0019166B"/>
    <w:rsid w:val="00193BAA"/>
    <w:rsid w:val="00196CFE"/>
    <w:rsid w:val="0019710A"/>
    <w:rsid w:val="00197D5F"/>
    <w:rsid w:val="001A129A"/>
    <w:rsid w:val="001A5C82"/>
    <w:rsid w:val="001A5EB9"/>
    <w:rsid w:val="001A794C"/>
    <w:rsid w:val="001A7D6A"/>
    <w:rsid w:val="001B050C"/>
    <w:rsid w:val="001B1138"/>
    <w:rsid w:val="001B1669"/>
    <w:rsid w:val="001B2134"/>
    <w:rsid w:val="001B3EDB"/>
    <w:rsid w:val="001B4672"/>
    <w:rsid w:val="001B57FD"/>
    <w:rsid w:val="001C16A7"/>
    <w:rsid w:val="001C23C8"/>
    <w:rsid w:val="001C27E1"/>
    <w:rsid w:val="001C3758"/>
    <w:rsid w:val="001D1161"/>
    <w:rsid w:val="001D147A"/>
    <w:rsid w:val="001D42BF"/>
    <w:rsid w:val="001D58B1"/>
    <w:rsid w:val="001D6346"/>
    <w:rsid w:val="001E1924"/>
    <w:rsid w:val="001E6B0C"/>
    <w:rsid w:val="001F3AED"/>
    <w:rsid w:val="001F609F"/>
    <w:rsid w:val="0020262C"/>
    <w:rsid w:val="00202F3B"/>
    <w:rsid w:val="002067FA"/>
    <w:rsid w:val="00212389"/>
    <w:rsid w:val="00214C1A"/>
    <w:rsid w:val="00215BF2"/>
    <w:rsid w:val="002160C0"/>
    <w:rsid w:val="0021736F"/>
    <w:rsid w:val="00220A44"/>
    <w:rsid w:val="00221A41"/>
    <w:rsid w:val="0022274E"/>
    <w:rsid w:val="00222BA7"/>
    <w:rsid w:val="002247D8"/>
    <w:rsid w:val="00225B4D"/>
    <w:rsid w:val="0022607E"/>
    <w:rsid w:val="00227D19"/>
    <w:rsid w:val="00231DB0"/>
    <w:rsid w:val="002321CA"/>
    <w:rsid w:val="0023236A"/>
    <w:rsid w:val="00240D74"/>
    <w:rsid w:val="00243AE8"/>
    <w:rsid w:val="002450C5"/>
    <w:rsid w:val="002474F8"/>
    <w:rsid w:val="00247801"/>
    <w:rsid w:val="00250E42"/>
    <w:rsid w:val="00253626"/>
    <w:rsid w:val="00257515"/>
    <w:rsid w:val="00260D98"/>
    <w:rsid w:val="0026139A"/>
    <w:rsid w:val="00264D90"/>
    <w:rsid w:val="002652FB"/>
    <w:rsid w:val="00265DE6"/>
    <w:rsid w:val="00266621"/>
    <w:rsid w:val="00276B49"/>
    <w:rsid w:val="00277923"/>
    <w:rsid w:val="00280BFC"/>
    <w:rsid w:val="00281A1E"/>
    <w:rsid w:val="00282116"/>
    <w:rsid w:val="00283BEA"/>
    <w:rsid w:val="00284E86"/>
    <w:rsid w:val="00287DF2"/>
    <w:rsid w:val="00290DF5"/>
    <w:rsid w:val="00291C5A"/>
    <w:rsid w:val="00291DC4"/>
    <w:rsid w:val="002934BA"/>
    <w:rsid w:val="0029434F"/>
    <w:rsid w:val="00294C1B"/>
    <w:rsid w:val="00295777"/>
    <w:rsid w:val="00296ED2"/>
    <w:rsid w:val="002A05C1"/>
    <w:rsid w:val="002A37FA"/>
    <w:rsid w:val="002A54FC"/>
    <w:rsid w:val="002B4400"/>
    <w:rsid w:val="002B46D0"/>
    <w:rsid w:val="002B6CD7"/>
    <w:rsid w:val="002B79FB"/>
    <w:rsid w:val="002C141F"/>
    <w:rsid w:val="002C1C5F"/>
    <w:rsid w:val="002C3E64"/>
    <w:rsid w:val="002C5AF0"/>
    <w:rsid w:val="002C6DE9"/>
    <w:rsid w:val="002D2F08"/>
    <w:rsid w:val="002D701D"/>
    <w:rsid w:val="002E0ECB"/>
    <w:rsid w:val="002E1F74"/>
    <w:rsid w:val="002E3975"/>
    <w:rsid w:val="002E4FAD"/>
    <w:rsid w:val="002E53C8"/>
    <w:rsid w:val="002E7080"/>
    <w:rsid w:val="002F0AAB"/>
    <w:rsid w:val="002F234A"/>
    <w:rsid w:val="002F3B7C"/>
    <w:rsid w:val="002F4D71"/>
    <w:rsid w:val="002F561F"/>
    <w:rsid w:val="002F69C0"/>
    <w:rsid w:val="002F6C37"/>
    <w:rsid w:val="00302710"/>
    <w:rsid w:val="00302727"/>
    <w:rsid w:val="00303C1D"/>
    <w:rsid w:val="00304E64"/>
    <w:rsid w:val="00310CE4"/>
    <w:rsid w:val="003113AC"/>
    <w:rsid w:val="003115D9"/>
    <w:rsid w:val="00311723"/>
    <w:rsid w:val="00320B6D"/>
    <w:rsid w:val="00320DE1"/>
    <w:rsid w:val="00320F10"/>
    <w:rsid w:val="003216BA"/>
    <w:rsid w:val="00321917"/>
    <w:rsid w:val="003226FE"/>
    <w:rsid w:val="00324785"/>
    <w:rsid w:val="0032564B"/>
    <w:rsid w:val="0032624F"/>
    <w:rsid w:val="0033128A"/>
    <w:rsid w:val="003329A1"/>
    <w:rsid w:val="00332C5F"/>
    <w:rsid w:val="00333B66"/>
    <w:rsid w:val="00335894"/>
    <w:rsid w:val="00335A8C"/>
    <w:rsid w:val="0033729D"/>
    <w:rsid w:val="00341699"/>
    <w:rsid w:val="003437DC"/>
    <w:rsid w:val="00344900"/>
    <w:rsid w:val="0034680F"/>
    <w:rsid w:val="00347787"/>
    <w:rsid w:val="00347C25"/>
    <w:rsid w:val="003503AF"/>
    <w:rsid w:val="00350593"/>
    <w:rsid w:val="00351C51"/>
    <w:rsid w:val="00353FBF"/>
    <w:rsid w:val="0036130A"/>
    <w:rsid w:val="0036585E"/>
    <w:rsid w:val="00366765"/>
    <w:rsid w:val="00366F6F"/>
    <w:rsid w:val="00372015"/>
    <w:rsid w:val="00373A47"/>
    <w:rsid w:val="003742EB"/>
    <w:rsid w:val="00381532"/>
    <w:rsid w:val="00381A1A"/>
    <w:rsid w:val="00384E37"/>
    <w:rsid w:val="00384EF8"/>
    <w:rsid w:val="00387A9D"/>
    <w:rsid w:val="00387F46"/>
    <w:rsid w:val="00390087"/>
    <w:rsid w:val="003929CC"/>
    <w:rsid w:val="003937D6"/>
    <w:rsid w:val="003952BF"/>
    <w:rsid w:val="00395430"/>
    <w:rsid w:val="00397268"/>
    <w:rsid w:val="00397324"/>
    <w:rsid w:val="003A5DF0"/>
    <w:rsid w:val="003A60AF"/>
    <w:rsid w:val="003A6731"/>
    <w:rsid w:val="003B01AF"/>
    <w:rsid w:val="003B2E86"/>
    <w:rsid w:val="003B4DC9"/>
    <w:rsid w:val="003B55FB"/>
    <w:rsid w:val="003B6653"/>
    <w:rsid w:val="003C0403"/>
    <w:rsid w:val="003C0886"/>
    <w:rsid w:val="003C6E01"/>
    <w:rsid w:val="003D0A47"/>
    <w:rsid w:val="003D304E"/>
    <w:rsid w:val="003D4E8A"/>
    <w:rsid w:val="003D6FCC"/>
    <w:rsid w:val="003E12D6"/>
    <w:rsid w:val="003E187C"/>
    <w:rsid w:val="003E1C28"/>
    <w:rsid w:val="003E3F3C"/>
    <w:rsid w:val="003E3FC5"/>
    <w:rsid w:val="003E6462"/>
    <w:rsid w:val="003F1887"/>
    <w:rsid w:val="003F436B"/>
    <w:rsid w:val="003F773C"/>
    <w:rsid w:val="003F7C71"/>
    <w:rsid w:val="004003D9"/>
    <w:rsid w:val="00400ADC"/>
    <w:rsid w:val="00400CDF"/>
    <w:rsid w:val="00403C68"/>
    <w:rsid w:val="0041775A"/>
    <w:rsid w:val="00417DD8"/>
    <w:rsid w:val="00422824"/>
    <w:rsid w:val="004254ED"/>
    <w:rsid w:val="00433474"/>
    <w:rsid w:val="00433ADF"/>
    <w:rsid w:val="00437ACC"/>
    <w:rsid w:val="00441C48"/>
    <w:rsid w:val="00443D65"/>
    <w:rsid w:val="00444861"/>
    <w:rsid w:val="004470C0"/>
    <w:rsid w:val="00450532"/>
    <w:rsid w:val="00453708"/>
    <w:rsid w:val="004605B4"/>
    <w:rsid w:val="00472FBD"/>
    <w:rsid w:val="004740E5"/>
    <w:rsid w:val="004742FF"/>
    <w:rsid w:val="00474937"/>
    <w:rsid w:val="00476F5F"/>
    <w:rsid w:val="004813AF"/>
    <w:rsid w:val="00490A7C"/>
    <w:rsid w:val="00491EBA"/>
    <w:rsid w:val="00491F18"/>
    <w:rsid w:val="00496EB7"/>
    <w:rsid w:val="004A04E3"/>
    <w:rsid w:val="004A0B66"/>
    <w:rsid w:val="004A0DB1"/>
    <w:rsid w:val="004A228E"/>
    <w:rsid w:val="004A3F81"/>
    <w:rsid w:val="004A7028"/>
    <w:rsid w:val="004A7075"/>
    <w:rsid w:val="004A7C27"/>
    <w:rsid w:val="004B2164"/>
    <w:rsid w:val="004B4E6E"/>
    <w:rsid w:val="004B7446"/>
    <w:rsid w:val="004C0D72"/>
    <w:rsid w:val="004C27DE"/>
    <w:rsid w:val="004C466A"/>
    <w:rsid w:val="004C5C42"/>
    <w:rsid w:val="004C7E5E"/>
    <w:rsid w:val="004D0D06"/>
    <w:rsid w:val="004D5412"/>
    <w:rsid w:val="004D7377"/>
    <w:rsid w:val="004E50D7"/>
    <w:rsid w:val="004E584F"/>
    <w:rsid w:val="004F24D6"/>
    <w:rsid w:val="004F5699"/>
    <w:rsid w:val="004F595D"/>
    <w:rsid w:val="004F7A2C"/>
    <w:rsid w:val="004F7D1C"/>
    <w:rsid w:val="0050060B"/>
    <w:rsid w:val="00503258"/>
    <w:rsid w:val="005042A3"/>
    <w:rsid w:val="005069E8"/>
    <w:rsid w:val="00507B8B"/>
    <w:rsid w:val="00510E55"/>
    <w:rsid w:val="005120DA"/>
    <w:rsid w:val="00512381"/>
    <w:rsid w:val="00512E62"/>
    <w:rsid w:val="00513483"/>
    <w:rsid w:val="0051496C"/>
    <w:rsid w:val="005165B2"/>
    <w:rsid w:val="00521D62"/>
    <w:rsid w:val="00522B33"/>
    <w:rsid w:val="00524D18"/>
    <w:rsid w:val="005272D6"/>
    <w:rsid w:val="005313B4"/>
    <w:rsid w:val="00531661"/>
    <w:rsid w:val="00532F9F"/>
    <w:rsid w:val="00534A6A"/>
    <w:rsid w:val="00534D35"/>
    <w:rsid w:val="00535598"/>
    <w:rsid w:val="0053715F"/>
    <w:rsid w:val="00541BF8"/>
    <w:rsid w:val="00543192"/>
    <w:rsid w:val="005507DD"/>
    <w:rsid w:val="005538DA"/>
    <w:rsid w:val="0055407D"/>
    <w:rsid w:val="00557F5B"/>
    <w:rsid w:val="005600BC"/>
    <w:rsid w:val="00561741"/>
    <w:rsid w:val="005638D2"/>
    <w:rsid w:val="0056390C"/>
    <w:rsid w:val="0056397E"/>
    <w:rsid w:val="00567B6C"/>
    <w:rsid w:val="00567C6F"/>
    <w:rsid w:val="005734EA"/>
    <w:rsid w:val="005812C9"/>
    <w:rsid w:val="0058179D"/>
    <w:rsid w:val="00582095"/>
    <w:rsid w:val="0058299D"/>
    <w:rsid w:val="00584387"/>
    <w:rsid w:val="0058454F"/>
    <w:rsid w:val="00587D97"/>
    <w:rsid w:val="005963DE"/>
    <w:rsid w:val="005966C7"/>
    <w:rsid w:val="00596F8C"/>
    <w:rsid w:val="005A0B54"/>
    <w:rsid w:val="005A1B31"/>
    <w:rsid w:val="005A1F73"/>
    <w:rsid w:val="005A217D"/>
    <w:rsid w:val="005A3701"/>
    <w:rsid w:val="005B309F"/>
    <w:rsid w:val="005B5F93"/>
    <w:rsid w:val="005C0700"/>
    <w:rsid w:val="005C1413"/>
    <w:rsid w:val="005C1463"/>
    <w:rsid w:val="005C2025"/>
    <w:rsid w:val="005C63DB"/>
    <w:rsid w:val="005D17B6"/>
    <w:rsid w:val="005D2D9B"/>
    <w:rsid w:val="005D3B8B"/>
    <w:rsid w:val="005E1C48"/>
    <w:rsid w:val="005E2574"/>
    <w:rsid w:val="005E73D9"/>
    <w:rsid w:val="005E79B7"/>
    <w:rsid w:val="005F0947"/>
    <w:rsid w:val="005F31A1"/>
    <w:rsid w:val="005F36DB"/>
    <w:rsid w:val="005F4BA0"/>
    <w:rsid w:val="005F5CFE"/>
    <w:rsid w:val="00602665"/>
    <w:rsid w:val="006027AC"/>
    <w:rsid w:val="006050AF"/>
    <w:rsid w:val="00606DFA"/>
    <w:rsid w:val="00607943"/>
    <w:rsid w:val="00610F87"/>
    <w:rsid w:val="00613E53"/>
    <w:rsid w:val="006143C1"/>
    <w:rsid w:val="0061649A"/>
    <w:rsid w:val="00616C00"/>
    <w:rsid w:val="00617392"/>
    <w:rsid w:val="0062310D"/>
    <w:rsid w:val="0062414D"/>
    <w:rsid w:val="00630306"/>
    <w:rsid w:val="00630608"/>
    <w:rsid w:val="0063243A"/>
    <w:rsid w:val="006331B0"/>
    <w:rsid w:val="006347BE"/>
    <w:rsid w:val="00634856"/>
    <w:rsid w:val="0063535D"/>
    <w:rsid w:val="00636865"/>
    <w:rsid w:val="00640ED3"/>
    <w:rsid w:val="00641269"/>
    <w:rsid w:val="00641A84"/>
    <w:rsid w:val="00642AC9"/>
    <w:rsid w:val="006472CD"/>
    <w:rsid w:val="00647CE5"/>
    <w:rsid w:val="00651017"/>
    <w:rsid w:val="00651506"/>
    <w:rsid w:val="006540D7"/>
    <w:rsid w:val="00662C71"/>
    <w:rsid w:val="00663D4A"/>
    <w:rsid w:val="00663F8B"/>
    <w:rsid w:val="00673B68"/>
    <w:rsid w:val="0067606F"/>
    <w:rsid w:val="00680167"/>
    <w:rsid w:val="00681CA1"/>
    <w:rsid w:val="00686A80"/>
    <w:rsid w:val="00687B0E"/>
    <w:rsid w:val="00687F8A"/>
    <w:rsid w:val="00690028"/>
    <w:rsid w:val="0069029C"/>
    <w:rsid w:val="006905B1"/>
    <w:rsid w:val="00691195"/>
    <w:rsid w:val="00693F2D"/>
    <w:rsid w:val="0069418C"/>
    <w:rsid w:val="006949FD"/>
    <w:rsid w:val="006953CF"/>
    <w:rsid w:val="00695DF1"/>
    <w:rsid w:val="0069693F"/>
    <w:rsid w:val="00696C90"/>
    <w:rsid w:val="006A3975"/>
    <w:rsid w:val="006A4109"/>
    <w:rsid w:val="006A6B90"/>
    <w:rsid w:val="006B0F7E"/>
    <w:rsid w:val="006B325F"/>
    <w:rsid w:val="006B6302"/>
    <w:rsid w:val="006C0D64"/>
    <w:rsid w:val="006C55A1"/>
    <w:rsid w:val="006D0465"/>
    <w:rsid w:val="006D0E24"/>
    <w:rsid w:val="006D18DA"/>
    <w:rsid w:val="006D24D8"/>
    <w:rsid w:val="006D28C2"/>
    <w:rsid w:val="006D4B5E"/>
    <w:rsid w:val="006E0C09"/>
    <w:rsid w:val="006E1544"/>
    <w:rsid w:val="006E38E7"/>
    <w:rsid w:val="006E50C9"/>
    <w:rsid w:val="006F1FC5"/>
    <w:rsid w:val="006F2752"/>
    <w:rsid w:val="006F3D25"/>
    <w:rsid w:val="006F4022"/>
    <w:rsid w:val="006F5721"/>
    <w:rsid w:val="006F66F9"/>
    <w:rsid w:val="00704202"/>
    <w:rsid w:val="00710C76"/>
    <w:rsid w:val="00710D87"/>
    <w:rsid w:val="00711AF1"/>
    <w:rsid w:val="00712DA5"/>
    <w:rsid w:val="00713007"/>
    <w:rsid w:val="00713553"/>
    <w:rsid w:val="00714902"/>
    <w:rsid w:val="0071612C"/>
    <w:rsid w:val="007233A2"/>
    <w:rsid w:val="00724C59"/>
    <w:rsid w:val="0072598E"/>
    <w:rsid w:val="00727F3C"/>
    <w:rsid w:val="00730E60"/>
    <w:rsid w:val="00735874"/>
    <w:rsid w:val="00737F7C"/>
    <w:rsid w:val="007412A7"/>
    <w:rsid w:val="00741EF1"/>
    <w:rsid w:val="00741F19"/>
    <w:rsid w:val="00746625"/>
    <w:rsid w:val="007476E1"/>
    <w:rsid w:val="0074775E"/>
    <w:rsid w:val="00753CDA"/>
    <w:rsid w:val="007560C9"/>
    <w:rsid w:val="0075708F"/>
    <w:rsid w:val="00760480"/>
    <w:rsid w:val="00761EAC"/>
    <w:rsid w:val="00762043"/>
    <w:rsid w:val="007630B1"/>
    <w:rsid w:val="007656DC"/>
    <w:rsid w:val="0076702C"/>
    <w:rsid w:val="0077198B"/>
    <w:rsid w:val="00774DB1"/>
    <w:rsid w:val="00780275"/>
    <w:rsid w:val="007821FA"/>
    <w:rsid w:val="00785463"/>
    <w:rsid w:val="007868B5"/>
    <w:rsid w:val="007A216B"/>
    <w:rsid w:val="007A2A4F"/>
    <w:rsid w:val="007A3EF6"/>
    <w:rsid w:val="007A407B"/>
    <w:rsid w:val="007A74E0"/>
    <w:rsid w:val="007B0BB6"/>
    <w:rsid w:val="007B156E"/>
    <w:rsid w:val="007B49CB"/>
    <w:rsid w:val="007B63AF"/>
    <w:rsid w:val="007B7F6B"/>
    <w:rsid w:val="007C15E1"/>
    <w:rsid w:val="007C3208"/>
    <w:rsid w:val="007C54F5"/>
    <w:rsid w:val="007C6161"/>
    <w:rsid w:val="007C68BF"/>
    <w:rsid w:val="007C6E1D"/>
    <w:rsid w:val="007C719B"/>
    <w:rsid w:val="007C71C9"/>
    <w:rsid w:val="007D0684"/>
    <w:rsid w:val="007D13DC"/>
    <w:rsid w:val="007D55A8"/>
    <w:rsid w:val="007D5823"/>
    <w:rsid w:val="007D5856"/>
    <w:rsid w:val="007D644C"/>
    <w:rsid w:val="007D6A2F"/>
    <w:rsid w:val="007E23F0"/>
    <w:rsid w:val="007E4716"/>
    <w:rsid w:val="007E58BE"/>
    <w:rsid w:val="007F1305"/>
    <w:rsid w:val="007F2E43"/>
    <w:rsid w:val="007F3170"/>
    <w:rsid w:val="007F66C9"/>
    <w:rsid w:val="007F6B52"/>
    <w:rsid w:val="007F6CEA"/>
    <w:rsid w:val="00801A15"/>
    <w:rsid w:val="008023BA"/>
    <w:rsid w:val="00805D72"/>
    <w:rsid w:val="008116A7"/>
    <w:rsid w:val="00812B60"/>
    <w:rsid w:val="008132B7"/>
    <w:rsid w:val="008214FA"/>
    <w:rsid w:val="008255C2"/>
    <w:rsid w:val="0082757C"/>
    <w:rsid w:val="00827CFC"/>
    <w:rsid w:val="00841783"/>
    <w:rsid w:val="008443E5"/>
    <w:rsid w:val="00844EC2"/>
    <w:rsid w:val="008475A5"/>
    <w:rsid w:val="00847F12"/>
    <w:rsid w:val="008509F6"/>
    <w:rsid w:val="00851A7A"/>
    <w:rsid w:val="00853241"/>
    <w:rsid w:val="00854459"/>
    <w:rsid w:val="008548C2"/>
    <w:rsid w:val="008578E5"/>
    <w:rsid w:val="00862086"/>
    <w:rsid w:val="0086227F"/>
    <w:rsid w:val="0086259F"/>
    <w:rsid w:val="008630DC"/>
    <w:rsid w:val="008634BF"/>
    <w:rsid w:val="00864AB1"/>
    <w:rsid w:val="00864DC1"/>
    <w:rsid w:val="008677E3"/>
    <w:rsid w:val="00873A2B"/>
    <w:rsid w:val="00880303"/>
    <w:rsid w:val="008813E0"/>
    <w:rsid w:val="008821CD"/>
    <w:rsid w:val="00882748"/>
    <w:rsid w:val="0088363E"/>
    <w:rsid w:val="00886AD2"/>
    <w:rsid w:val="00886B4F"/>
    <w:rsid w:val="00890F6D"/>
    <w:rsid w:val="0089184C"/>
    <w:rsid w:val="00892707"/>
    <w:rsid w:val="00893621"/>
    <w:rsid w:val="008939CB"/>
    <w:rsid w:val="00895184"/>
    <w:rsid w:val="008A28A7"/>
    <w:rsid w:val="008A2AFC"/>
    <w:rsid w:val="008A56FE"/>
    <w:rsid w:val="008B1B2F"/>
    <w:rsid w:val="008B3BAD"/>
    <w:rsid w:val="008B3CE6"/>
    <w:rsid w:val="008B74E1"/>
    <w:rsid w:val="008B7928"/>
    <w:rsid w:val="008C1037"/>
    <w:rsid w:val="008C25C1"/>
    <w:rsid w:val="008C263C"/>
    <w:rsid w:val="008C2A84"/>
    <w:rsid w:val="008C46A7"/>
    <w:rsid w:val="008C48A8"/>
    <w:rsid w:val="008C5FCF"/>
    <w:rsid w:val="008D27A8"/>
    <w:rsid w:val="008D35C7"/>
    <w:rsid w:val="008D51DD"/>
    <w:rsid w:val="008E0F23"/>
    <w:rsid w:val="008E2A6E"/>
    <w:rsid w:val="008E673E"/>
    <w:rsid w:val="008F1CEE"/>
    <w:rsid w:val="008F31AD"/>
    <w:rsid w:val="008F3F15"/>
    <w:rsid w:val="008F4BD3"/>
    <w:rsid w:val="008F774E"/>
    <w:rsid w:val="009010AA"/>
    <w:rsid w:val="00903EC4"/>
    <w:rsid w:val="0090503A"/>
    <w:rsid w:val="0090592A"/>
    <w:rsid w:val="00907CB0"/>
    <w:rsid w:val="00910ED1"/>
    <w:rsid w:val="009111AA"/>
    <w:rsid w:val="00911CE8"/>
    <w:rsid w:val="00920980"/>
    <w:rsid w:val="00923178"/>
    <w:rsid w:val="00924F7D"/>
    <w:rsid w:val="00925157"/>
    <w:rsid w:val="00930974"/>
    <w:rsid w:val="009316E7"/>
    <w:rsid w:val="009322AA"/>
    <w:rsid w:val="00933096"/>
    <w:rsid w:val="00933FEE"/>
    <w:rsid w:val="0093462D"/>
    <w:rsid w:val="00934A87"/>
    <w:rsid w:val="00935A49"/>
    <w:rsid w:val="00940CC3"/>
    <w:rsid w:val="009410A9"/>
    <w:rsid w:val="00941A7F"/>
    <w:rsid w:val="00941C45"/>
    <w:rsid w:val="00942FC4"/>
    <w:rsid w:val="00945667"/>
    <w:rsid w:val="00945FF9"/>
    <w:rsid w:val="00947E5F"/>
    <w:rsid w:val="00953B07"/>
    <w:rsid w:val="00954596"/>
    <w:rsid w:val="00955645"/>
    <w:rsid w:val="009574C2"/>
    <w:rsid w:val="0096113B"/>
    <w:rsid w:val="00961C13"/>
    <w:rsid w:val="0096490C"/>
    <w:rsid w:val="0096662A"/>
    <w:rsid w:val="00967B96"/>
    <w:rsid w:val="00971CD7"/>
    <w:rsid w:val="00971F6A"/>
    <w:rsid w:val="00971FCF"/>
    <w:rsid w:val="00974B01"/>
    <w:rsid w:val="009804AE"/>
    <w:rsid w:val="0098250D"/>
    <w:rsid w:val="00984BFF"/>
    <w:rsid w:val="009870C5"/>
    <w:rsid w:val="00990AE7"/>
    <w:rsid w:val="00991A19"/>
    <w:rsid w:val="009960C4"/>
    <w:rsid w:val="009A00BD"/>
    <w:rsid w:val="009A0268"/>
    <w:rsid w:val="009A085B"/>
    <w:rsid w:val="009A1511"/>
    <w:rsid w:val="009A2EED"/>
    <w:rsid w:val="009A2FA6"/>
    <w:rsid w:val="009A34D7"/>
    <w:rsid w:val="009A35CD"/>
    <w:rsid w:val="009A6873"/>
    <w:rsid w:val="009B7C67"/>
    <w:rsid w:val="009C12A1"/>
    <w:rsid w:val="009C2A81"/>
    <w:rsid w:val="009C741A"/>
    <w:rsid w:val="009D052C"/>
    <w:rsid w:val="009D1A4C"/>
    <w:rsid w:val="009D26F2"/>
    <w:rsid w:val="009E164A"/>
    <w:rsid w:val="009E164D"/>
    <w:rsid w:val="009E298D"/>
    <w:rsid w:val="009E56C2"/>
    <w:rsid w:val="009E579B"/>
    <w:rsid w:val="009E57D0"/>
    <w:rsid w:val="009F1941"/>
    <w:rsid w:val="009F1CC3"/>
    <w:rsid w:val="009F51E0"/>
    <w:rsid w:val="009F67F0"/>
    <w:rsid w:val="009F6B4D"/>
    <w:rsid w:val="00A072A5"/>
    <w:rsid w:val="00A13309"/>
    <w:rsid w:val="00A1375E"/>
    <w:rsid w:val="00A17D60"/>
    <w:rsid w:val="00A22C73"/>
    <w:rsid w:val="00A24210"/>
    <w:rsid w:val="00A24F45"/>
    <w:rsid w:val="00A267DF"/>
    <w:rsid w:val="00A2722F"/>
    <w:rsid w:val="00A34670"/>
    <w:rsid w:val="00A355C6"/>
    <w:rsid w:val="00A3673D"/>
    <w:rsid w:val="00A400A4"/>
    <w:rsid w:val="00A43CDD"/>
    <w:rsid w:val="00A54765"/>
    <w:rsid w:val="00A614B6"/>
    <w:rsid w:val="00A62A18"/>
    <w:rsid w:val="00A67B6A"/>
    <w:rsid w:val="00A70747"/>
    <w:rsid w:val="00A7463B"/>
    <w:rsid w:val="00A74B5A"/>
    <w:rsid w:val="00A74FEC"/>
    <w:rsid w:val="00A75D62"/>
    <w:rsid w:val="00A77204"/>
    <w:rsid w:val="00A77E1A"/>
    <w:rsid w:val="00A83170"/>
    <w:rsid w:val="00A840E8"/>
    <w:rsid w:val="00A8423E"/>
    <w:rsid w:val="00A849E1"/>
    <w:rsid w:val="00A855F8"/>
    <w:rsid w:val="00A87FD7"/>
    <w:rsid w:val="00A9004D"/>
    <w:rsid w:val="00A918F6"/>
    <w:rsid w:val="00A929DD"/>
    <w:rsid w:val="00A92A27"/>
    <w:rsid w:val="00A95185"/>
    <w:rsid w:val="00A97C23"/>
    <w:rsid w:val="00AA3E87"/>
    <w:rsid w:val="00AA3FA9"/>
    <w:rsid w:val="00AA44AE"/>
    <w:rsid w:val="00AA590B"/>
    <w:rsid w:val="00AA65FC"/>
    <w:rsid w:val="00AA7852"/>
    <w:rsid w:val="00AB1B47"/>
    <w:rsid w:val="00AB1EEF"/>
    <w:rsid w:val="00AB52A7"/>
    <w:rsid w:val="00AB7255"/>
    <w:rsid w:val="00AC0158"/>
    <w:rsid w:val="00AC07F4"/>
    <w:rsid w:val="00AC118F"/>
    <w:rsid w:val="00AC23EA"/>
    <w:rsid w:val="00AC2C41"/>
    <w:rsid w:val="00AC42DF"/>
    <w:rsid w:val="00AC4DED"/>
    <w:rsid w:val="00AC6068"/>
    <w:rsid w:val="00AD06B8"/>
    <w:rsid w:val="00AD35D6"/>
    <w:rsid w:val="00AD475D"/>
    <w:rsid w:val="00AD6736"/>
    <w:rsid w:val="00AD7549"/>
    <w:rsid w:val="00AD7C2F"/>
    <w:rsid w:val="00AE10C7"/>
    <w:rsid w:val="00AE4374"/>
    <w:rsid w:val="00AE5416"/>
    <w:rsid w:val="00AE6C0A"/>
    <w:rsid w:val="00AF0A22"/>
    <w:rsid w:val="00AF107D"/>
    <w:rsid w:val="00AF177F"/>
    <w:rsid w:val="00AF354B"/>
    <w:rsid w:val="00AF3BF8"/>
    <w:rsid w:val="00AF4599"/>
    <w:rsid w:val="00AF4FD9"/>
    <w:rsid w:val="00B002D6"/>
    <w:rsid w:val="00B044C4"/>
    <w:rsid w:val="00B0658C"/>
    <w:rsid w:val="00B06A5A"/>
    <w:rsid w:val="00B06EFD"/>
    <w:rsid w:val="00B0784E"/>
    <w:rsid w:val="00B10494"/>
    <w:rsid w:val="00B1055C"/>
    <w:rsid w:val="00B14B54"/>
    <w:rsid w:val="00B15B64"/>
    <w:rsid w:val="00B16DF3"/>
    <w:rsid w:val="00B17DCB"/>
    <w:rsid w:val="00B30671"/>
    <w:rsid w:val="00B32483"/>
    <w:rsid w:val="00B32D22"/>
    <w:rsid w:val="00B3491B"/>
    <w:rsid w:val="00B36A48"/>
    <w:rsid w:val="00B37A2F"/>
    <w:rsid w:val="00B40C24"/>
    <w:rsid w:val="00B43A97"/>
    <w:rsid w:val="00B43F16"/>
    <w:rsid w:val="00B4587E"/>
    <w:rsid w:val="00B473E0"/>
    <w:rsid w:val="00B47583"/>
    <w:rsid w:val="00B5115C"/>
    <w:rsid w:val="00B51904"/>
    <w:rsid w:val="00B54AA1"/>
    <w:rsid w:val="00B54EC2"/>
    <w:rsid w:val="00B56618"/>
    <w:rsid w:val="00B62039"/>
    <w:rsid w:val="00B62498"/>
    <w:rsid w:val="00B624A5"/>
    <w:rsid w:val="00B62D42"/>
    <w:rsid w:val="00B63FFD"/>
    <w:rsid w:val="00B65A4E"/>
    <w:rsid w:val="00B65EA8"/>
    <w:rsid w:val="00B70A89"/>
    <w:rsid w:val="00B70F78"/>
    <w:rsid w:val="00B7181C"/>
    <w:rsid w:val="00B820F9"/>
    <w:rsid w:val="00B83B89"/>
    <w:rsid w:val="00B842ED"/>
    <w:rsid w:val="00B93360"/>
    <w:rsid w:val="00B93C40"/>
    <w:rsid w:val="00B93E3B"/>
    <w:rsid w:val="00B94974"/>
    <w:rsid w:val="00BA164C"/>
    <w:rsid w:val="00BB0DFD"/>
    <w:rsid w:val="00BB0EC9"/>
    <w:rsid w:val="00BB1425"/>
    <w:rsid w:val="00BB1D16"/>
    <w:rsid w:val="00BB1F81"/>
    <w:rsid w:val="00BB2924"/>
    <w:rsid w:val="00BB44F3"/>
    <w:rsid w:val="00BB4E35"/>
    <w:rsid w:val="00BB546F"/>
    <w:rsid w:val="00BB619F"/>
    <w:rsid w:val="00BC0511"/>
    <w:rsid w:val="00BC32C8"/>
    <w:rsid w:val="00BC5546"/>
    <w:rsid w:val="00BC5749"/>
    <w:rsid w:val="00BC6E9D"/>
    <w:rsid w:val="00BD03E6"/>
    <w:rsid w:val="00BD22E2"/>
    <w:rsid w:val="00BD3254"/>
    <w:rsid w:val="00BD5374"/>
    <w:rsid w:val="00BD6607"/>
    <w:rsid w:val="00BD70BD"/>
    <w:rsid w:val="00BE1756"/>
    <w:rsid w:val="00BE274B"/>
    <w:rsid w:val="00BE2EE4"/>
    <w:rsid w:val="00BF575E"/>
    <w:rsid w:val="00BF6D15"/>
    <w:rsid w:val="00C004C2"/>
    <w:rsid w:val="00C04108"/>
    <w:rsid w:val="00C04845"/>
    <w:rsid w:val="00C04966"/>
    <w:rsid w:val="00C04F3B"/>
    <w:rsid w:val="00C075A5"/>
    <w:rsid w:val="00C123C3"/>
    <w:rsid w:val="00C162D7"/>
    <w:rsid w:val="00C20DAB"/>
    <w:rsid w:val="00C2255B"/>
    <w:rsid w:val="00C22F85"/>
    <w:rsid w:val="00C23B30"/>
    <w:rsid w:val="00C260C9"/>
    <w:rsid w:val="00C30D47"/>
    <w:rsid w:val="00C30DC8"/>
    <w:rsid w:val="00C3111D"/>
    <w:rsid w:val="00C31FD5"/>
    <w:rsid w:val="00C32CB2"/>
    <w:rsid w:val="00C33369"/>
    <w:rsid w:val="00C362F4"/>
    <w:rsid w:val="00C36E9C"/>
    <w:rsid w:val="00C416F6"/>
    <w:rsid w:val="00C50EE2"/>
    <w:rsid w:val="00C51185"/>
    <w:rsid w:val="00C52981"/>
    <w:rsid w:val="00C52E62"/>
    <w:rsid w:val="00C550C8"/>
    <w:rsid w:val="00C56705"/>
    <w:rsid w:val="00C57647"/>
    <w:rsid w:val="00C61CC3"/>
    <w:rsid w:val="00C6272B"/>
    <w:rsid w:val="00C6344C"/>
    <w:rsid w:val="00C64AF3"/>
    <w:rsid w:val="00C70721"/>
    <w:rsid w:val="00C71151"/>
    <w:rsid w:val="00C72922"/>
    <w:rsid w:val="00C75548"/>
    <w:rsid w:val="00C7612D"/>
    <w:rsid w:val="00C771BD"/>
    <w:rsid w:val="00C8307F"/>
    <w:rsid w:val="00C83504"/>
    <w:rsid w:val="00C83831"/>
    <w:rsid w:val="00C85234"/>
    <w:rsid w:val="00CA5354"/>
    <w:rsid w:val="00CB0022"/>
    <w:rsid w:val="00CB034E"/>
    <w:rsid w:val="00CB09CD"/>
    <w:rsid w:val="00CB3A61"/>
    <w:rsid w:val="00CC422E"/>
    <w:rsid w:val="00CC768B"/>
    <w:rsid w:val="00CD2C0D"/>
    <w:rsid w:val="00CD3BD3"/>
    <w:rsid w:val="00CD437B"/>
    <w:rsid w:val="00CD6841"/>
    <w:rsid w:val="00CE0B83"/>
    <w:rsid w:val="00CE1588"/>
    <w:rsid w:val="00CE1F2B"/>
    <w:rsid w:val="00CE221C"/>
    <w:rsid w:val="00CE3285"/>
    <w:rsid w:val="00CF568B"/>
    <w:rsid w:val="00CF5F03"/>
    <w:rsid w:val="00CF6943"/>
    <w:rsid w:val="00CF7348"/>
    <w:rsid w:val="00CF7484"/>
    <w:rsid w:val="00CF7D69"/>
    <w:rsid w:val="00D00877"/>
    <w:rsid w:val="00D01BB9"/>
    <w:rsid w:val="00D04E13"/>
    <w:rsid w:val="00D058C1"/>
    <w:rsid w:val="00D0713C"/>
    <w:rsid w:val="00D07DE6"/>
    <w:rsid w:val="00D110CB"/>
    <w:rsid w:val="00D13F81"/>
    <w:rsid w:val="00D22034"/>
    <w:rsid w:val="00D233E4"/>
    <w:rsid w:val="00D23867"/>
    <w:rsid w:val="00D26113"/>
    <w:rsid w:val="00D26635"/>
    <w:rsid w:val="00D2738C"/>
    <w:rsid w:val="00D34C5E"/>
    <w:rsid w:val="00D353CC"/>
    <w:rsid w:val="00D35BEA"/>
    <w:rsid w:val="00D42814"/>
    <w:rsid w:val="00D471C0"/>
    <w:rsid w:val="00D53B94"/>
    <w:rsid w:val="00D54221"/>
    <w:rsid w:val="00D56F32"/>
    <w:rsid w:val="00D57B55"/>
    <w:rsid w:val="00D61164"/>
    <w:rsid w:val="00D61356"/>
    <w:rsid w:val="00D62C66"/>
    <w:rsid w:val="00D66611"/>
    <w:rsid w:val="00D66CDE"/>
    <w:rsid w:val="00D7009F"/>
    <w:rsid w:val="00D70F0F"/>
    <w:rsid w:val="00D71629"/>
    <w:rsid w:val="00D72A33"/>
    <w:rsid w:val="00D739A1"/>
    <w:rsid w:val="00D740E9"/>
    <w:rsid w:val="00D7587B"/>
    <w:rsid w:val="00D76A86"/>
    <w:rsid w:val="00D77A97"/>
    <w:rsid w:val="00D77BE8"/>
    <w:rsid w:val="00D80570"/>
    <w:rsid w:val="00D82AF7"/>
    <w:rsid w:val="00D8317C"/>
    <w:rsid w:val="00D84114"/>
    <w:rsid w:val="00D85733"/>
    <w:rsid w:val="00D86038"/>
    <w:rsid w:val="00D8615B"/>
    <w:rsid w:val="00D927ED"/>
    <w:rsid w:val="00D92863"/>
    <w:rsid w:val="00D92BD0"/>
    <w:rsid w:val="00D92EF9"/>
    <w:rsid w:val="00D95B0C"/>
    <w:rsid w:val="00D96A0F"/>
    <w:rsid w:val="00D97216"/>
    <w:rsid w:val="00DA5944"/>
    <w:rsid w:val="00DA59DB"/>
    <w:rsid w:val="00DA707C"/>
    <w:rsid w:val="00DB3820"/>
    <w:rsid w:val="00DB6CC5"/>
    <w:rsid w:val="00DB7B11"/>
    <w:rsid w:val="00DC2A59"/>
    <w:rsid w:val="00DD0941"/>
    <w:rsid w:val="00DD29D6"/>
    <w:rsid w:val="00DD2F9D"/>
    <w:rsid w:val="00DD3B9E"/>
    <w:rsid w:val="00DD4F1F"/>
    <w:rsid w:val="00DD6EB7"/>
    <w:rsid w:val="00DE001C"/>
    <w:rsid w:val="00DE3E40"/>
    <w:rsid w:val="00DE4844"/>
    <w:rsid w:val="00DE6688"/>
    <w:rsid w:val="00DE68B3"/>
    <w:rsid w:val="00DF0CC5"/>
    <w:rsid w:val="00DF3125"/>
    <w:rsid w:val="00DF3F4A"/>
    <w:rsid w:val="00DF4F95"/>
    <w:rsid w:val="00DF59AA"/>
    <w:rsid w:val="00DF7B0D"/>
    <w:rsid w:val="00E01F7B"/>
    <w:rsid w:val="00E02A74"/>
    <w:rsid w:val="00E0470F"/>
    <w:rsid w:val="00E05E8A"/>
    <w:rsid w:val="00E0687A"/>
    <w:rsid w:val="00E10675"/>
    <w:rsid w:val="00E1141E"/>
    <w:rsid w:val="00E115D4"/>
    <w:rsid w:val="00E119C1"/>
    <w:rsid w:val="00E134FC"/>
    <w:rsid w:val="00E164FB"/>
    <w:rsid w:val="00E20832"/>
    <w:rsid w:val="00E2188C"/>
    <w:rsid w:val="00E2445A"/>
    <w:rsid w:val="00E249D1"/>
    <w:rsid w:val="00E24B7B"/>
    <w:rsid w:val="00E259B3"/>
    <w:rsid w:val="00E273DE"/>
    <w:rsid w:val="00E27A7D"/>
    <w:rsid w:val="00E344D4"/>
    <w:rsid w:val="00E358FF"/>
    <w:rsid w:val="00E451B0"/>
    <w:rsid w:val="00E46132"/>
    <w:rsid w:val="00E46A43"/>
    <w:rsid w:val="00E5366B"/>
    <w:rsid w:val="00E55BEF"/>
    <w:rsid w:val="00E56662"/>
    <w:rsid w:val="00E63FC9"/>
    <w:rsid w:val="00E67DD7"/>
    <w:rsid w:val="00E71A16"/>
    <w:rsid w:val="00E71E84"/>
    <w:rsid w:val="00E723EF"/>
    <w:rsid w:val="00E845B1"/>
    <w:rsid w:val="00E8515A"/>
    <w:rsid w:val="00E85EF6"/>
    <w:rsid w:val="00E85F91"/>
    <w:rsid w:val="00E87131"/>
    <w:rsid w:val="00E871BD"/>
    <w:rsid w:val="00E902B0"/>
    <w:rsid w:val="00E906E1"/>
    <w:rsid w:val="00E915AE"/>
    <w:rsid w:val="00E91E84"/>
    <w:rsid w:val="00E93372"/>
    <w:rsid w:val="00E9680F"/>
    <w:rsid w:val="00EA33F2"/>
    <w:rsid w:val="00EB6158"/>
    <w:rsid w:val="00EB7C73"/>
    <w:rsid w:val="00EC2301"/>
    <w:rsid w:val="00EC2DAE"/>
    <w:rsid w:val="00EC3D33"/>
    <w:rsid w:val="00ED255A"/>
    <w:rsid w:val="00ED513A"/>
    <w:rsid w:val="00ED63E0"/>
    <w:rsid w:val="00ED79B9"/>
    <w:rsid w:val="00EE01BC"/>
    <w:rsid w:val="00EE0963"/>
    <w:rsid w:val="00EE0975"/>
    <w:rsid w:val="00EE1164"/>
    <w:rsid w:val="00EE50CD"/>
    <w:rsid w:val="00EE5328"/>
    <w:rsid w:val="00EE7BFC"/>
    <w:rsid w:val="00EF0B4A"/>
    <w:rsid w:val="00EF2DCB"/>
    <w:rsid w:val="00EF409B"/>
    <w:rsid w:val="00EF7ECE"/>
    <w:rsid w:val="00F129BE"/>
    <w:rsid w:val="00F12A59"/>
    <w:rsid w:val="00F13674"/>
    <w:rsid w:val="00F13FF1"/>
    <w:rsid w:val="00F17C0E"/>
    <w:rsid w:val="00F17DD6"/>
    <w:rsid w:val="00F20B09"/>
    <w:rsid w:val="00F219CA"/>
    <w:rsid w:val="00F23982"/>
    <w:rsid w:val="00F26711"/>
    <w:rsid w:val="00F268CB"/>
    <w:rsid w:val="00F30544"/>
    <w:rsid w:val="00F31B1F"/>
    <w:rsid w:val="00F34E15"/>
    <w:rsid w:val="00F35A8E"/>
    <w:rsid w:val="00F37A22"/>
    <w:rsid w:val="00F417FB"/>
    <w:rsid w:val="00F42FDE"/>
    <w:rsid w:val="00F43EC6"/>
    <w:rsid w:val="00F4525E"/>
    <w:rsid w:val="00F45D0D"/>
    <w:rsid w:val="00F463A2"/>
    <w:rsid w:val="00F5186B"/>
    <w:rsid w:val="00F52A5A"/>
    <w:rsid w:val="00F53944"/>
    <w:rsid w:val="00F5432D"/>
    <w:rsid w:val="00F54407"/>
    <w:rsid w:val="00F56397"/>
    <w:rsid w:val="00F56EBE"/>
    <w:rsid w:val="00F57370"/>
    <w:rsid w:val="00F64BAF"/>
    <w:rsid w:val="00F66670"/>
    <w:rsid w:val="00F67C5F"/>
    <w:rsid w:val="00F707BA"/>
    <w:rsid w:val="00F71E82"/>
    <w:rsid w:val="00F728B1"/>
    <w:rsid w:val="00F7327C"/>
    <w:rsid w:val="00F74931"/>
    <w:rsid w:val="00F7579C"/>
    <w:rsid w:val="00F82979"/>
    <w:rsid w:val="00F847E7"/>
    <w:rsid w:val="00F84885"/>
    <w:rsid w:val="00F849A7"/>
    <w:rsid w:val="00F85192"/>
    <w:rsid w:val="00F857E5"/>
    <w:rsid w:val="00F86E52"/>
    <w:rsid w:val="00F920A7"/>
    <w:rsid w:val="00F92429"/>
    <w:rsid w:val="00F94C3F"/>
    <w:rsid w:val="00F96E8C"/>
    <w:rsid w:val="00FA0766"/>
    <w:rsid w:val="00FA203E"/>
    <w:rsid w:val="00FA2201"/>
    <w:rsid w:val="00FA2C99"/>
    <w:rsid w:val="00FA3205"/>
    <w:rsid w:val="00FA55BD"/>
    <w:rsid w:val="00FB026E"/>
    <w:rsid w:val="00FB1D58"/>
    <w:rsid w:val="00FB4109"/>
    <w:rsid w:val="00FB51F5"/>
    <w:rsid w:val="00FB5BF2"/>
    <w:rsid w:val="00FC0AE7"/>
    <w:rsid w:val="00FC210F"/>
    <w:rsid w:val="00FC25D1"/>
    <w:rsid w:val="00FC33D5"/>
    <w:rsid w:val="00FC3C5B"/>
    <w:rsid w:val="00FC46F8"/>
    <w:rsid w:val="00FC5847"/>
    <w:rsid w:val="00FC7790"/>
    <w:rsid w:val="00FD120C"/>
    <w:rsid w:val="00FD57B6"/>
    <w:rsid w:val="00FD7015"/>
    <w:rsid w:val="00FD786B"/>
    <w:rsid w:val="00FE3645"/>
    <w:rsid w:val="00FE396D"/>
    <w:rsid w:val="00FE3F9E"/>
    <w:rsid w:val="00FE5560"/>
    <w:rsid w:val="00FE71B3"/>
    <w:rsid w:val="00FF0268"/>
    <w:rsid w:val="00FF50DF"/>
    <w:rsid w:val="00FF51EF"/>
    <w:rsid w:val="00FF62DF"/>
    <w:rsid w:val="3DB41EFB"/>
    <w:rsid w:val="4C014D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6">
    <w:name w:val="heading 6"/>
    <w:basedOn w:val="a"/>
    <w:next w:val="a"/>
    <w:link w:val="6Char"/>
    <w:pPr>
      <w:widowControl/>
      <w:jc w:val="left"/>
      <w:outlineLvl w:val="5"/>
    </w:pPr>
    <w:rPr>
      <w:kern w:val="0"/>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sz w:val="20"/>
      <w:szCs w:val="20"/>
    </w:rPr>
  </w:style>
  <w:style w:type="paragraph" w:styleId="a4">
    <w:name w:val="Body Text"/>
    <w:basedOn w:val="a"/>
    <w:link w:val="Char0"/>
    <w:uiPriority w:val="99"/>
    <w:qFormat/>
    <w:pPr>
      <w:widowControl/>
      <w:spacing w:before="130" w:after="130"/>
    </w:pPr>
    <w:rPr>
      <w:kern w:val="0"/>
      <w:sz w:val="22"/>
      <w:szCs w:val="20"/>
      <w:lang w:eastAsia="en-US"/>
    </w:rPr>
  </w:style>
  <w:style w:type="paragraph" w:styleId="a5">
    <w:name w:val="Balloon Text"/>
    <w:basedOn w:val="a"/>
    <w:link w:val="Char1"/>
    <w:uiPriority w:val="99"/>
    <w:semiHidden/>
    <w:unhideWhenUsed/>
    <w:qFormat/>
    <w:rPr>
      <w:rFonts w:ascii="Segoe UI" w:hAnsi="Segoe UI" w:cs="Segoe UI"/>
      <w:sz w:val="18"/>
      <w:szCs w:val="18"/>
    </w:rPr>
  </w:style>
  <w:style w:type="paragraph" w:styleId="a6">
    <w:name w:val="footer"/>
    <w:basedOn w:val="a"/>
    <w:link w:val="Char2"/>
    <w:uiPriority w:val="99"/>
    <w:unhideWhenUsed/>
    <w:qFormat/>
    <w:pPr>
      <w:tabs>
        <w:tab w:val="center" w:pos="4320"/>
        <w:tab w:val="right" w:pos="8640"/>
      </w:tabs>
    </w:pPr>
  </w:style>
  <w:style w:type="paragraph" w:styleId="a7">
    <w:name w:val="header"/>
    <w:basedOn w:val="a"/>
    <w:link w:val="Char3"/>
    <w:uiPriority w:val="99"/>
    <w:unhideWhenUsed/>
    <w:qFormat/>
    <w:pPr>
      <w:tabs>
        <w:tab w:val="center" w:pos="4320"/>
        <w:tab w:val="right" w:pos="8640"/>
      </w:tabs>
    </w:pPr>
  </w:style>
  <w:style w:type="paragraph" w:styleId="a8">
    <w:name w:val="footnote text"/>
    <w:basedOn w:val="a"/>
    <w:link w:val="Char4"/>
    <w:uiPriority w:val="99"/>
    <w:semiHidden/>
    <w:unhideWhenUsed/>
    <w:qFormat/>
    <w:rPr>
      <w:sz w:val="20"/>
      <w:szCs w:val="20"/>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basedOn w:val="a0"/>
    <w:uiPriority w:val="99"/>
    <w:unhideWhenUsed/>
    <w:qFormat/>
    <w:rPr>
      <w:rFonts w:ascii="Times New Roman" w:hAnsi="Times New Roman" w:cs="Times New Roman" w:hint="default"/>
      <w:color w:val="000000"/>
      <w:u w:val="single"/>
    </w:rPr>
  </w:style>
  <w:style w:type="character" w:styleId="ae">
    <w:name w:val="annotation reference"/>
    <w:basedOn w:val="a0"/>
    <w:uiPriority w:val="99"/>
    <w:semiHidden/>
    <w:unhideWhenUsed/>
    <w:qFormat/>
    <w:rPr>
      <w:sz w:val="16"/>
      <w:szCs w:val="16"/>
    </w:rPr>
  </w:style>
  <w:style w:type="character" w:styleId="af">
    <w:name w:val="footnote reference"/>
    <w:basedOn w:val="a0"/>
    <w:uiPriority w:val="99"/>
    <w:semiHidden/>
    <w:unhideWhenUsed/>
    <w:qFormat/>
    <w:rPr>
      <w:vertAlign w:val="superscript"/>
    </w:rPr>
  </w:style>
  <w:style w:type="character" w:customStyle="1" w:styleId="Char3">
    <w:name w:val="页眉 Char"/>
    <w:basedOn w:val="a0"/>
    <w:link w:val="a7"/>
    <w:uiPriority w:val="99"/>
    <w:qFormat/>
    <w:rPr>
      <w:rFonts w:ascii="Times New Roman" w:eastAsia="宋体" w:hAnsi="Times New Roman" w:cs="Times New Roman"/>
      <w:kern w:val="2"/>
      <w:sz w:val="21"/>
      <w:szCs w:val="24"/>
      <w:lang w:val="en-US"/>
    </w:rPr>
  </w:style>
  <w:style w:type="character" w:customStyle="1" w:styleId="Char2">
    <w:name w:val="页脚 Char"/>
    <w:basedOn w:val="a0"/>
    <w:link w:val="a6"/>
    <w:uiPriority w:val="99"/>
    <w:qFormat/>
    <w:rPr>
      <w:rFonts w:ascii="Times New Roman" w:eastAsia="宋体" w:hAnsi="Times New Roman" w:cs="Times New Roman"/>
      <w:kern w:val="2"/>
      <w:sz w:val="21"/>
      <w:szCs w:val="24"/>
      <w:lang w:val="en-US"/>
    </w:rPr>
  </w:style>
  <w:style w:type="paragraph" w:styleId="af0">
    <w:name w:val="List Paragraph"/>
    <w:basedOn w:val="a"/>
    <w:uiPriority w:val="34"/>
    <w:qFormat/>
    <w:pPr>
      <w:ind w:left="720"/>
      <w:contextualSpacing/>
    </w:pPr>
  </w:style>
  <w:style w:type="character" w:customStyle="1" w:styleId="Char0">
    <w:name w:val="正文文本 Char"/>
    <w:basedOn w:val="a0"/>
    <w:link w:val="a4"/>
    <w:uiPriority w:val="99"/>
    <w:qFormat/>
    <w:rPr>
      <w:rFonts w:ascii="Times New Roman" w:eastAsia="宋体" w:hAnsi="Times New Roman" w:cs="Times New Roman"/>
      <w:szCs w:val="20"/>
      <w:lang w:val="en-US" w:eastAsia="en-US"/>
    </w:rPr>
  </w:style>
  <w:style w:type="character" w:customStyle="1" w:styleId="6Char">
    <w:name w:val="标题 6 Char"/>
    <w:basedOn w:val="a0"/>
    <w:link w:val="6"/>
    <w:qFormat/>
    <w:rPr>
      <w:rFonts w:ascii="Times New Roman" w:eastAsia="宋体" w:hAnsi="Times New Roman" w:cs="Times New Roman"/>
      <w:szCs w:val="20"/>
      <w:lang w:val="en-US" w:eastAsia="en-US"/>
    </w:rPr>
  </w:style>
  <w:style w:type="character" w:customStyle="1" w:styleId="Char">
    <w:name w:val="批注文字 Char"/>
    <w:basedOn w:val="a0"/>
    <w:link w:val="a3"/>
    <w:uiPriority w:val="99"/>
    <w:qFormat/>
    <w:rPr>
      <w:rFonts w:ascii="Times New Roman" w:eastAsia="宋体" w:hAnsi="Times New Roman" w:cs="Times New Roman"/>
      <w:kern w:val="2"/>
      <w:sz w:val="20"/>
      <w:szCs w:val="20"/>
      <w:lang w:val="en-US"/>
    </w:rPr>
  </w:style>
  <w:style w:type="character" w:customStyle="1" w:styleId="Char5">
    <w:name w:val="批注主题 Char"/>
    <w:basedOn w:val="Char"/>
    <w:link w:val="a9"/>
    <w:uiPriority w:val="99"/>
    <w:semiHidden/>
    <w:qFormat/>
    <w:rPr>
      <w:rFonts w:ascii="Times New Roman" w:eastAsia="宋体" w:hAnsi="Times New Roman" w:cs="Times New Roman"/>
      <w:b/>
      <w:bCs/>
      <w:kern w:val="2"/>
      <w:sz w:val="20"/>
      <w:szCs w:val="20"/>
      <w:lang w:val="en-US"/>
    </w:rPr>
  </w:style>
  <w:style w:type="character" w:customStyle="1" w:styleId="Char1">
    <w:name w:val="批注框文本 Char"/>
    <w:basedOn w:val="a0"/>
    <w:link w:val="a5"/>
    <w:uiPriority w:val="99"/>
    <w:semiHidden/>
    <w:qFormat/>
    <w:rPr>
      <w:rFonts w:ascii="Segoe UI" w:eastAsia="宋体" w:hAnsi="Segoe UI" w:cs="Segoe UI"/>
      <w:kern w:val="2"/>
      <w:sz w:val="18"/>
      <w:szCs w:val="18"/>
      <w:lang w:val="en-US"/>
    </w:rPr>
  </w:style>
  <w:style w:type="paragraph" w:customStyle="1" w:styleId="paragraph">
    <w:name w:val="paragraph"/>
    <w:basedOn w:val="a"/>
    <w:uiPriority w:val="99"/>
    <w:qFormat/>
    <w:pPr>
      <w:widowControl/>
      <w:spacing w:after="300" w:line="240" w:lineRule="atLeast"/>
      <w:jc w:val="left"/>
    </w:pPr>
    <w:rPr>
      <w:rFonts w:ascii="Arial" w:hAnsi="Arial" w:cs="Arial"/>
      <w:kern w:val="0"/>
      <w:sz w:val="19"/>
      <w:szCs w:val="19"/>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customStyle="1" w:styleId="Char4">
    <w:name w:val="脚注文本 Char"/>
    <w:basedOn w:val="a0"/>
    <w:link w:val="a8"/>
    <w:uiPriority w:val="99"/>
    <w:semiHidden/>
    <w:qFormat/>
    <w:rPr>
      <w:rFonts w:ascii="Times New Roman" w:eastAsia="宋体" w:hAnsi="Times New Roman" w:cs="Times New Roman"/>
      <w:kern w:val="2"/>
      <w:sz w:val="20"/>
      <w:szCs w:val="20"/>
      <w:lang w:val="en-US"/>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6">
    <w:name w:val="heading 6"/>
    <w:basedOn w:val="a"/>
    <w:next w:val="a"/>
    <w:link w:val="6Char"/>
    <w:pPr>
      <w:widowControl/>
      <w:jc w:val="left"/>
      <w:outlineLvl w:val="5"/>
    </w:pPr>
    <w:rPr>
      <w:kern w:val="0"/>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sz w:val="20"/>
      <w:szCs w:val="20"/>
    </w:rPr>
  </w:style>
  <w:style w:type="paragraph" w:styleId="a4">
    <w:name w:val="Body Text"/>
    <w:basedOn w:val="a"/>
    <w:link w:val="Char0"/>
    <w:uiPriority w:val="99"/>
    <w:qFormat/>
    <w:pPr>
      <w:widowControl/>
      <w:spacing w:before="130" w:after="130"/>
    </w:pPr>
    <w:rPr>
      <w:kern w:val="0"/>
      <w:sz w:val="22"/>
      <w:szCs w:val="20"/>
      <w:lang w:eastAsia="en-US"/>
    </w:rPr>
  </w:style>
  <w:style w:type="paragraph" w:styleId="a5">
    <w:name w:val="Balloon Text"/>
    <w:basedOn w:val="a"/>
    <w:link w:val="Char1"/>
    <w:uiPriority w:val="99"/>
    <w:semiHidden/>
    <w:unhideWhenUsed/>
    <w:qFormat/>
    <w:rPr>
      <w:rFonts w:ascii="Segoe UI" w:hAnsi="Segoe UI" w:cs="Segoe UI"/>
      <w:sz w:val="18"/>
      <w:szCs w:val="18"/>
    </w:rPr>
  </w:style>
  <w:style w:type="paragraph" w:styleId="a6">
    <w:name w:val="footer"/>
    <w:basedOn w:val="a"/>
    <w:link w:val="Char2"/>
    <w:uiPriority w:val="99"/>
    <w:unhideWhenUsed/>
    <w:qFormat/>
    <w:pPr>
      <w:tabs>
        <w:tab w:val="center" w:pos="4320"/>
        <w:tab w:val="right" w:pos="8640"/>
      </w:tabs>
    </w:pPr>
  </w:style>
  <w:style w:type="paragraph" w:styleId="a7">
    <w:name w:val="header"/>
    <w:basedOn w:val="a"/>
    <w:link w:val="Char3"/>
    <w:uiPriority w:val="99"/>
    <w:unhideWhenUsed/>
    <w:qFormat/>
    <w:pPr>
      <w:tabs>
        <w:tab w:val="center" w:pos="4320"/>
        <w:tab w:val="right" w:pos="8640"/>
      </w:tabs>
    </w:pPr>
  </w:style>
  <w:style w:type="paragraph" w:styleId="a8">
    <w:name w:val="footnote text"/>
    <w:basedOn w:val="a"/>
    <w:link w:val="Char4"/>
    <w:uiPriority w:val="99"/>
    <w:semiHidden/>
    <w:unhideWhenUsed/>
    <w:qFormat/>
    <w:rPr>
      <w:sz w:val="20"/>
      <w:szCs w:val="20"/>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basedOn w:val="a0"/>
    <w:uiPriority w:val="99"/>
    <w:unhideWhenUsed/>
    <w:qFormat/>
    <w:rPr>
      <w:rFonts w:ascii="Times New Roman" w:hAnsi="Times New Roman" w:cs="Times New Roman" w:hint="default"/>
      <w:color w:val="000000"/>
      <w:u w:val="single"/>
    </w:rPr>
  </w:style>
  <w:style w:type="character" w:styleId="ae">
    <w:name w:val="annotation reference"/>
    <w:basedOn w:val="a0"/>
    <w:uiPriority w:val="99"/>
    <w:semiHidden/>
    <w:unhideWhenUsed/>
    <w:qFormat/>
    <w:rPr>
      <w:sz w:val="16"/>
      <w:szCs w:val="16"/>
    </w:rPr>
  </w:style>
  <w:style w:type="character" w:styleId="af">
    <w:name w:val="footnote reference"/>
    <w:basedOn w:val="a0"/>
    <w:uiPriority w:val="99"/>
    <w:semiHidden/>
    <w:unhideWhenUsed/>
    <w:qFormat/>
    <w:rPr>
      <w:vertAlign w:val="superscript"/>
    </w:rPr>
  </w:style>
  <w:style w:type="character" w:customStyle="1" w:styleId="Char3">
    <w:name w:val="页眉 Char"/>
    <w:basedOn w:val="a0"/>
    <w:link w:val="a7"/>
    <w:uiPriority w:val="99"/>
    <w:qFormat/>
    <w:rPr>
      <w:rFonts w:ascii="Times New Roman" w:eastAsia="宋体" w:hAnsi="Times New Roman" w:cs="Times New Roman"/>
      <w:kern w:val="2"/>
      <w:sz w:val="21"/>
      <w:szCs w:val="24"/>
      <w:lang w:val="en-US"/>
    </w:rPr>
  </w:style>
  <w:style w:type="character" w:customStyle="1" w:styleId="Char2">
    <w:name w:val="页脚 Char"/>
    <w:basedOn w:val="a0"/>
    <w:link w:val="a6"/>
    <w:uiPriority w:val="99"/>
    <w:qFormat/>
    <w:rPr>
      <w:rFonts w:ascii="Times New Roman" w:eastAsia="宋体" w:hAnsi="Times New Roman" w:cs="Times New Roman"/>
      <w:kern w:val="2"/>
      <w:sz w:val="21"/>
      <w:szCs w:val="24"/>
      <w:lang w:val="en-US"/>
    </w:rPr>
  </w:style>
  <w:style w:type="paragraph" w:styleId="af0">
    <w:name w:val="List Paragraph"/>
    <w:basedOn w:val="a"/>
    <w:uiPriority w:val="34"/>
    <w:qFormat/>
    <w:pPr>
      <w:ind w:left="720"/>
      <w:contextualSpacing/>
    </w:pPr>
  </w:style>
  <w:style w:type="character" w:customStyle="1" w:styleId="Char0">
    <w:name w:val="正文文本 Char"/>
    <w:basedOn w:val="a0"/>
    <w:link w:val="a4"/>
    <w:uiPriority w:val="99"/>
    <w:qFormat/>
    <w:rPr>
      <w:rFonts w:ascii="Times New Roman" w:eastAsia="宋体" w:hAnsi="Times New Roman" w:cs="Times New Roman"/>
      <w:szCs w:val="20"/>
      <w:lang w:val="en-US" w:eastAsia="en-US"/>
    </w:rPr>
  </w:style>
  <w:style w:type="character" w:customStyle="1" w:styleId="6Char">
    <w:name w:val="标题 6 Char"/>
    <w:basedOn w:val="a0"/>
    <w:link w:val="6"/>
    <w:qFormat/>
    <w:rPr>
      <w:rFonts w:ascii="Times New Roman" w:eastAsia="宋体" w:hAnsi="Times New Roman" w:cs="Times New Roman"/>
      <w:szCs w:val="20"/>
      <w:lang w:val="en-US" w:eastAsia="en-US"/>
    </w:rPr>
  </w:style>
  <w:style w:type="character" w:customStyle="1" w:styleId="Char">
    <w:name w:val="批注文字 Char"/>
    <w:basedOn w:val="a0"/>
    <w:link w:val="a3"/>
    <w:uiPriority w:val="99"/>
    <w:qFormat/>
    <w:rPr>
      <w:rFonts w:ascii="Times New Roman" w:eastAsia="宋体" w:hAnsi="Times New Roman" w:cs="Times New Roman"/>
      <w:kern w:val="2"/>
      <w:sz w:val="20"/>
      <w:szCs w:val="20"/>
      <w:lang w:val="en-US"/>
    </w:rPr>
  </w:style>
  <w:style w:type="character" w:customStyle="1" w:styleId="Char5">
    <w:name w:val="批注主题 Char"/>
    <w:basedOn w:val="Char"/>
    <w:link w:val="a9"/>
    <w:uiPriority w:val="99"/>
    <w:semiHidden/>
    <w:qFormat/>
    <w:rPr>
      <w:rFonts w:ascii="Times New Roman" w:eastAsia="宋体" w:hAnsi="Times New Roman" w:cs="Times New Roman"/>
      <w:b/>
      <w:bCs/>
      <w:kern w:val="2"/>
      <w:sz w:val="20"/>
      <w:szCs w:val="20"/>
      <w:lang w:val="en-US"/>
    </w:rPr>
  </w:style>
  <w:style w:type="character" w:customStyle="1" w:styleId="Char1">
    <w:name w:val="批注框文本 Char"/>
    <w:basedOn w:val="a0"/>
    <w:link w:val="a5"/>
    <w:uiPriority w:val="99"/>
    <w:semiHidden/>
    <w:qFormat/>
    <w:rPr>
      <w:rFonts w:ascii="Segoe UI" w:eastAsia="宋体" w:hAnsi="Segoe UI" w:cs="Segoe UI"/>
      <w:kern w:val="2"/>
      <w:sz w:val="18"/>
      <w:szCs w:val="18"/>
      <w:lang w:val="en-US"/>
    </w:rPr>
  </w:style>
  <w:style w:type="paragraph" w:customStyle="1" w:styleId="paragraph">
    <w:name w:val="paragraph"/>
    <w:basedOn w:val="a"/>
    <w:uiPriority w:val="99"/>
    <w:qFormat/>
    <w:pPr>
      <w:widowControl/>
      <w:spacing w:after="300" w:line="240" w:lineRule="atLeast"/>
      <w:jc w:val="left"/>
    </w:pPr>
    <w:rPr>
      <w:rFonts w:ascii="Arial" w:hAnsi="Arial" w:cs="Arial"/>
      <w:kern w:val="0"/>
      <w:sz w:val="19"/>
      <w:szCs w:val="19"/>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customStyle="1" w:styleId="Char4">
    <w:name w:val="脚注文本 Char"/>
    <w:basedOn w:val="a0"/>
    <w:link w:val="a8"/>
    <w:uiPriority w:val="99"/>
    <w:semiHidden/>
    <w:qFormat/>
    <w:rPr>
      <w:rFonts w:ascii="Times New Roman" w:eastAsia="宋体" w:hAnsi="Times New Roman" w:cs="Times New Roman"/>
      <w:kern w:val="2"/>
      <w:sz w:val="20"/>
      <w:szCs w:val="20"/>
      <w:lang w:val="en-US"/>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4F671B66BA64DBC4EBB8FD6C68B77" ma:contentTypeVersion="" ma:contentTypeDescription="Create a new document." ma:contentTypeScope="" ma:versionID="9c8bbac5c957b9828042bb07ed26b431">
  <xsd:schema xmlns:xsd="http://www.w3.org/2001/XMLSchema" xmlns:xs="http://www.w3.org/2001/XMLSchema" xmlns:p="http://schemas.microsoft.com/office/2006/metadata/properties" xmlns:ns1="http://schemas.microsoft.com/sharepoint/v3" xmlns:ns2="61c59613-fa3d-49ac-a488-29be1c5cd5ec" targetNamespace="http://schemas.microsoft.com/office/2006/metadata/properties" ma:root="true" ma:fieldsID="facab81b0f108df44d0d1ce77558c797" ns1:_="" ns2:_="">
    <xsd:import namespace="http://schemas.microsoft.com/sharepoint/v3"/>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5008-118E-46ED-8DD8-3CB9EB70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4FAC2E-1F6C-42D7-AF76-9175A3EC52F3}">
  <ds:schemaRefs>
    <ds:schemaRef ds:uri="http://schemas.microsoft.com/sharepoint/v3/contenttype/forms"/>
  </ds:schemaRefs>
</ds:datastoreItem>
</file>

<file path=customXml/itemProps4.xml><?xml version="1.0" encoding="utf-8"?>
<ds:datastoreItem xmlns:ds="http://schemas.openxmlformats.org/officeDocument/2006/customXml" ds:itemID="{974BF4A3-7F45-4A74-B30B-D24621E72AA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97C696A-5AA2-426B-9C22-2D81AA44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361</Words>
  <Characters>2064</Characters>
  <Application>Microsoft Office Word</Application>
  <DocSecurity>0</DocSecurity>
  <Lines>17</Lines>
  <Paragraphs>4</Paragraphs>
  <ScaleCrop>false</ScaleCrop>
  <Company>神州网信技术有限公司</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Belinda (BJ/PTR)</dc:creator>
  <cp:lastModifiedBy>陈宇</cp:lastModifiedBy>
  <cp:revision>23</cp:revision>
  <cp:lastPrinted>2022-03-23T08:50:00Z</cp:lastPrinted>
  <dcterms:created xsi:type="dcterms:W3CDTF">2022-03-18T01:39:00Z</dcterms:created>
  <dcterms:modified xsi:type="dcterms:W3CDTF">2022-03-23T08:50:00Z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0x0101009CE4F671B66BA64DBC4EBB8FD6C68B77</vt:lpwstr>
  </property>
  <property fmtid="{D5CDD505-2E9C-101B-9397-08002B2CF9AE}" pid="3" name="KSOProductBuildVer">
    <vt:lpwstr>2052-11.8.2.8959</vt:lpwstr>
  </property>
</Properties>
</file>