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14" w:rsidRDefault="004B6BED">
      <w:pPr>
        <w:autoSpaceDE w:val="0"/>
        <w:autoSpaceDN w:val="0"/>
        <w:adjustRightInd w:val="0"/>
        <w:spacing w:line="400" w:lineRule="exact"/>
        <w:jc w:val="left"/>
        <w:rPr>
          <w:rFonts w:ascii="宋体" w:eastAsia="宋体" w:hAnsi="宋体" w:cs="宋体"/>
          <w:b/>
          <w:color w:val="000000"/>
          <w:kern w:val="0"/>
          <w:sz w:val="21"/>
          <w:szCs w:val="21"/>
        </w:rPr>
      </w:pPr>
      <w:r>
        <w:rPr>
          <w:rFonts w:ascii="宋体" w:eastAsia="宋体" w:hAnsi="宋体" w:cs="宋体"/>
          <w:b/>
          <w:color w:val="000000"/>
          <w:kern w:val="0"/>
          <w:sz w:val="21"/>
          <w:szCs w:val="21"/>
        </w:rPr>
        <w:t>公告编号：临2022-</w:t>
      </w:r>
      <w:r w:rsidR="004F2D35" w:rsidRPr="005C65CD">
        <w:rPr>
          <w:rFonts w:ascii="宋体" w:eastAsia="宋体" w:hAnsi="宋体" w:cs="宋体" w:hint="eastAsia"/>
          <w:b/>
          <w:color w:val="000000"/>
          <w:kern w:val="0"/>
          <w:sz w:val="21"/>
          <w:szCs w:val="21"/>
        </w:rPr>
        <w:t>019</w:t>
      </w:r>
    </w:p>
    <w:p w:rsidR="00604814" w:rsidRDefault="004B6BED">
      <w:pPr>
        <w:autoSpaceDE w:val="0"/>
        <w:autoSpaceDN w:val="0"/>
        <w:adjustRightInd w:val="0"/>
        <w:spacing w:line="400" w:lineRule="exact"/>
        <w:jc w:val="left"/>
        <w:rPr>
          <w:rFonts w:ascii="宋体" w:eastAsia="宋体" w:hAnsi="宋体" w:cs="宋体"/>
          <w:b/>
          <w:color w:val="000000"/>
          <w:kern w:val="0"/>
          <w:sz w:val="21"/>
          <w:szCs w:val="21"/>
        </w:rPr>
      </w:pPr>
      <w:r>
        <w:rPr>
          <w:rFonts w:ascii="宋体" w:eastAsia="宋体" w:hAnsi="宋体" w:cs="宋体"/>
          <w:b/>
          <w:color w:val="000000"/>
          <w:kern w:val="0"/>
          <w:sz w:val="21"/>
          <w:szCs w:val="21"/>
        </w:rPr>
        <w:t xml:space="preserve">A股代码：601166           </w:t>
      </w:r>
      <w:r>
        <w:rPr>
          <w:rFonts w:ascii="宋体" w:eastAsia="宋体" w:hAnsi="宋体" w:cs="宋体" w:hint="eastAsia"/>
          <w:b/>
          <w:color w:val="000000"/>
          <w:kern w:val="0"/>
          <w:sz w:val="21"/>
          <w:szCs w:val="21"/>
        </w:rPr>
        <w:t xml:space="preserve">             </w:t>
      </w:r>
      <w:r>
        <w:rPr>
          <w:rFonts w:ascii="宋体" w:eastAsia="宋体" w:hAnsi="宋体" w:cs="宋体"/>
          <w:b/>
          <w:color w:val="000000"/>
          <w:kern w:val="0"/>
          <w:sz w:val="21"/>
          <w:szCs w:val="21"/>
        </w:rPr>
        <w:t xml:space="preserve">  </w:t>
      </w:r>
      <w:r>
        <w:rPr>
          <w:rFonts w:ascii="宋体" w:eastAsia="宋体" w:hAnsi="宋体" w:cs="宋体" w:hint="eastAsia"/>
          <w:b/>
          <w:color w:val="000000"/>
          <w:kern w:val="0"/>
          <w:sz w:val="21"/>
          <w:szCs w:val="21"/>
        </w:rPr>
        <w:t xml:space="preserve">  </w:t>
      </w:r>
      <w:r>
        <w:rPr>
          <w:rFonts w:ascii="宋体" w:eastAsia="宋体" w:hAnsi="宋体" w:cs="宋体"/>
          <w:b/>
          <w:color w:val="000000"/>
          <w:kern w:val="0"/>
          <w:sz w:val="21"/>
          <w:szCs w:val="21"/>
        </w:rPr>
        <w:t>A股简称：兴业银行</w:t>
      </w:r>
    </w:p>
    <w:p w:rsidR="00604814" w:rsidRDefault="004B6BED">
      <w:pPr>
        <w:autoSpaceDE w:val="0"/>
        <w:autoSpaceDN w:val="0"/>
        <w:adjustRightInd w:val="0"/>
        <w:spacing w:line="400" w:lineRule="exact"/>
        <w:jc w:val="left"/>
        <w:rPr>
          <w:rFonts w:ascii="宋体" w:eastAsia="宋体" w:hAnsi="宋体" w:cs="宋体"/>
          <w:b/>
          <w:color w:val="000000"/>
          <w:kern w:val="0"/>
          <w:sz w:val="21"/>
          <w:szCs w:val="21"/>
        </w:rPr>
      </w:pPr>
      <w:r>
        <w:rPr>
          <w:rFonts w:ascii="宋体" w:eastAsia="宋体" w:hAnsi="宋体" w:cs="宋体"/>
          <w:b/>
          <w:color w:val="000000"/>
          <w:kern w:val="0"/>
          <w:sz w:val="21"/>
          <w:szCs w:val="21"/>
        </w:rPr>
        <w:t xml:space="preserve">优先股代码：360005、360012、360032     </w:t>
      </w:r>
      <w:r>
        <w:rPr>
          <w:rFonts w:ascii="宋体" w:eastAsia="宋体" w:hAnsi="宋体" w:cs="宋体" w:hint="eastAsia"/>
          <w:b/>
          <w:color w:val="000000"/>
          <w:kern w:val="0"/>
          <w:sz w:val="21"/>
          <w:szCs w:val="21"/>
        </w:rPr>
        <w:t xml:space="preserve">    </w:t>
      </w:r>
      <w:r>
        <w:rPr>
          <w:rFonts w:ascii="宋体" w:eastAsia="宋体" w:hAnsi="宋体" w:cs="宋体"/>
          <w:b/>
          <w:color w:val="000000"/>
          <w:kern w:val="0"/>
          <w:sz w:val="21"/>
          <w:szCs w:val="21"/>
        </w:rPr>
        <w:t>优先股简称：兴业优1、兴业优2、兴业优3</w:t>
      </w:r>
    </w:p>
    <w:p w:rsidR="00604814" w:rsidRDefault="004B6BED">
      <w:pPr>
        <w:spacing w:line="400" w:lineRule="exact"/>
        <w:rPr>
          <w:rFonts w:ascii="宋体" w:eastAsia="宋体" w:hAnsi="宋体" w:cs="宋体"/>
          <w:b/>
          <w:color w:val="000000"/>
          <w:kern w:val="0"/>
          <w:sz w:val="21"/>
          <w:szCs w:val="21"/>
        </w:rPr>
      </w:pPr>
      <w:r>
        <w:rPr>
          <w:rFonts w:ascii="宋体" w:eastAsia="宋体" w:hAnsi="宋体" w:cs="宋体"/>
          <w:b/>
          <w:color w:val="000000"/>
          <w:kern w:val="0"/>
          <w:sz w:val="21"/>
          <w:szCs w:val="21"/>
        </w:rPr>
        <w:t xml:space="preserve">可转债代码：113052                    </w:t>
      </w:r>
      <w:r>
        <w:rPr>
          <w:rFonts w:ascii="宋体" w:eastAsia="宋体" w:hAnsi="宋体" w:cs="宋体" w:hint="eastAsia"/>
          <w:b/>
          <w:color w:val="000000"/>
          <w:kern w:val="0"/>
          <w:sz w:val="21"/>
          <w:szCs w:val="21"/>
        </w:rPr>
        <w:t xml:space="preserve">    </w:t>
      </w:r>
      <w:r>
        <w:rPr>
          <w:rFonts w:ascii="宋体" w:eastAsia="宋体" w:hAnsi="宋体" w:cs="宋体"/>
          <w:b/>
          <w:color w:val="000000"/>
          <w:kern w:val="0"/>
          <w:sz w:val="21"/>
          <w:szCs w:val="21"/>
        </w:rPr>
        <w:t xml:space="preserve"> 可转债简称：兴业转债</w:t>
      </w:r>
    </w:p>
    <w:p w:rsidR="00604814" w:rsidRDefault="00604814">
      <w:pPr>
        <w:spacing w:line="360" w:lineRule="auto"/>
        <w:rPr>
          <w:rFonts w:ascii="宋体" w:eastAsia="宋体" w:hAnsi="宋体"/>
          <w:sz w:val="24"/>
        </w:rPr>
      </w:pPr>
    </w:p>
    <w:p w:rsidR="00604814" w:rsidRDefault="004B6BED">
      <w:pPr>
        <w:jc w:val="center"/>
        <w:rPr>
          <w:rFonts w:ascii="黑体" w:eastAsia="黑体" w:hAnsi="Calibri"/>
          <w:color w:val="FF0000"/>
          <w:sz w:val="44"/>
          <w:szCs w:val="44"/>
        </w:rPr>
      </w:pPr>
      <w:r>
        <w:rPr>
          <w:rFonts w:ascii="黑体" w:eastAsia="黑体" w:hAnsi="Calibri"/>
          <w:color w:val="FF0000"/>
          <w:sz w:val="44"/>
          <w:szCs w:val="44"/>
        </w:rPr>
        <w:t>兴业银行股份有限公司</w:t>
      </w:r>
    </w:p>
    <w:p w:rsidR="00604814" w:rsidRDefault="004B6BED">
      <w:pPr>
        <w:spacing w:line="360" w:lineRule="auto"/>
        <w:jc w:val="center"/>
        <w:rPr>
          <w:rFonts w:ascii="黑体" w:eastAsia="黑体" w:hAnsi="Calibri"/>
          <w:color w:val="FF0000"/>
          <w:sz w:val="44"/>
          <w:szCs w:val="44"/>
        </w:rPr>
      </w:pPr>
      <w:r>
        <w:rPr>
          <w:rFonts w:ascii="黑体" w:eastAsia="黑体" w:hAnsi="Calibri"/>
          <w:bCs/>
          <w:color w:val="FF0000"/>
          <w:sz w:val="44"/>
          <w:szCs w:val="44"/>
        </w:rPr>
        <w:t>20</w:t>
      </w:r>
      <w:r>
        <w:rPr>
          <w:rFonts w:ascii="黑体" w:eastAsia="黑体" w:hAnsi="Calibri" w:hint="eastAsia"/>
          <w:bCs/>
          <w:color w:val="FF0000"/>
          <w:sz w:val="44"/>
          <w:szCs w:val="44"/>
        </w:rPr>
        <w:t>21</w:t>
      </w:r>
      <w:r>
        <w:rPr>
          <w:rFonts w:ascii="黑体" w:eastAsia="黑体" w:hAnsi="Calibri" w:hint="eastAsia"/>
          <w:color w:val="FF0000"/>
          <w:sz w:val="44"/>
          <w:szCs w:val="44"/>
        </w:rPr>
        <w:t>年度利润分配预案公告</w:t>
      </w:r>
    </w:p>
    <w:p w:rsidR="00604814" w:rsidRDefault="00604814">
      <w:pPr>
        <w:spacing w:line="360" w:lineRule="auto"/>
        <w:rPr>
          <w:rFonts w:ascii="黑体" w:eastAsia="黑体" w:hAnsi="Calibri"/>
          <w:color w:val="FF0000"/>
          <w:sz w:val="24"/>
        </w:rPr>
      </w:pPr>
    </w:p>
    <w:p w:rsidR="00604814" w:rsidRDefault="004B6BED">
      <w:pPr>
        <w:spacing w:line="360" w:lineRule="auto"/>
        <w:ind w:firstLineChars="200" w:firstLine="480"/>
        <w:rPr>
          <w:rFonts w:ascii="宋体" w:eastAsia="宋体" w:hAnsi="宋体"/>
          <w:sz w:val="24"/>
          <w:szCs w:val="22"/>
        </w:rPr>
      </w:pPr>
      <w:r>
        <w:rPr>
          <w:rFonts w:ascii="宋体" w:eastAsia="宋体" w:hAnsi="宋体" w:hint="eastAsia"/>
          <w:sz w:val="24"/>
          <w:szCs w:val="22"/>
        </w:rPr>
        <w:t>本公司董事会及全体董事保证本公告内容不存在任何虚假记载、误导性陈述或者重大遗漏，并对其内容的真实性、准确性和完整性承担个别及连带责任。</w:t>
      </w:r>
    </w:p>
    <w:p w:rsidR="00604814" w:rsidRDefault="00604814">
      <w:pPr>
        <w:pStyle w:val="Default"/>
        <w:spacing w:line="360" w:lineRule="auto"/>
      </w:pPr>
    </w:p>
    <w:p w:rsidR="00604814" w:rsidRDefault="004B6BED">
      <w:pPr>
        <w:pStyle w:val="Default"/>
        <w:spacing w:line="360" w:lineRule="auto"/>
        <w:ind w:firstLineChars="200" w:firstLine="480"/>
        <w:jc w:val="both"/>
      </w:pPr>
      <w:r>
        <w:rPr>
          <w:rFonts w:hint="eastAsia"/>
        </w:rPr>
        <w:t>重要内容提示：</w:t>
      </w:r>
      <w:r>
        <w:t xml:space="preserve"> </w:t>
      </w:r>
    </w:p>
    <w:p w:rsidR="00604814" w:rsidRDefault="004B6BED" w:rsidP="0039552C">
      <w:pPr>
        <w:pStyle w:val="Default"/>
        <w:spacing w:line="360" w:lineRule="auto"/>
        <w:ind w:firstLineChars="200" w:firstLine="460"/>
        <w:rPr>
          <w:rFonts w:hAnsi="宋体"/>
        </w:rPr>
      </w:pPr>
      <w:r>
        <w:rPr>
          <w:rFonts w:ascii="Wingdings" w:hAnsi="Wingdings" w:cs="Wingdings"/>
          <w:sz w:val="23"/>
          <w:szCs w:val="23"/>
        </w:rPr>
        <w:t></w:t>
      </w:r>
      <w:r>
        <w:rPr>
          <w:rFonts w:ascii="Wingdings" w:hAnsi="Wingdings" w:cs="Wingdings"/>
          <w:sz w:val="23"/>
          <w:szCs w:val="23"/>
        </w:rPr>
        <w:t></w:t>
      </w:r>
      <w:r>
        <w:rPr>
          <w:rFonts w:hAnsi="宋体" w:hint="eastAsia"/>
        </w:rPr>
        <w:t xml:space="preserve">综合考虑监管部门对商业银行资本充足率的要求、广大投资者诉求和本公司业务持续发展需求，按照公司确定的稳定、连续、可预期的分红政策，2021年度拟每股派发现金红利人民币1.035元（含税）。 </w:t>
      </w:r>
    </w:p>
    <w:p w:rsidR="00604814" w:rsidRDefault="004B6BED">
      <w:pPr>
        <w:pStyle w:val="Default"/>
        <w:spacing w:line="360" w:lineRule="auto"/>
        <w:ind w:firstLineChars="200" w:firstLine="460"/>
        <w:jc w:val="both"/>
        <w:rPr>
          <w:rFonts w:hAnsi="Wingdings" w:hint="eastAsia"/>
        </w:rPr>
      </w:pPr>
      <w:r>
        <w:rPr>
          <w:rFonts w:ascii="Wingdings" w:hAnsi="Wingdings" w:cs="Wingdings"/>
          <w:sz w:val="23"/>
          <w:szCs w:val="23"/>
        </w:rPr>
        <w:t></w:t>
      </w:r>
      <w:r>
        <w:rPr>
          <w:rFonts w:ascii="Wingdings" w:hAnsi="Wingdings" w:cs="Wingdings"/>
          <w:sz w:val="23"/>
          <w:szCs w:val="23"/>
        </w:rPr>
        <w:t></w:t>
      </w:r>
      <w:r>
        <w:rPr>
          <w:rFonts w:hAnsi="Wingdings" w:hint="eastAsia"/>
        </w:rPr>
        <w:t>本次利润分配以实施</w:t>
      </w:r>
      <w:r>
        <w:rPr>
          <w:rFonts w:hAnsi="宋体" w:hint="eastAsia"/>
        </w:rPr>
        <w:t>权益分派股权登记日</w:t>
      </w:r>
      <w:r>
        <w:rPr>
          <w:rFonts w:hAnsi="Wingdings" w:hint="eastAsia"/>
        </w:rPr>
        <w:t xml:space="preserve">登记的公司普通股总股本为基数，具体股权登记日期将在权益分派实施公告中明确。 </w:t>
      </w:r>
    </w:p>
    <w:p w:rsidR="00604814" w:rsidRDefault="004B6BED">
      <w:pPr>
        <w:autoSpaceDE w:val="0"/>
        <w:autoSpaceDN w:val="0"/>
        <w:adjustRightInd w:val="0"/>
        <w:spacing w:line="360" w:lineRule="auto"/>
        <w:ind w:firstLineChars="200" w:firstLine="460"/>
        <w:rPr>
          <w:rFonts w:ascii="宋体" w:eastAsia="宋体" w:hAnsi="宋体"/>
          <w:sz w:val="24"/>
        </w:rPr>
      </w:pPr>
      <w:r>
        <w:rPr>
          <w:rFonts w:ascii="Wingdings" w:eastAsia="宋体" w:hAnsi="Wingdings" w:cs="Wingdings"/>
          <w:color w:val="000000"/>
          <w:kern w:val="0"/>
          <w:sz w:val="23"/>
          <w:szCs w:val="23"/>
        </w:rPr>
        <w:t></w:t>
      </w:r>
      <w:r>
        <w:rPr>
          <w:rFonts w:ascii="Wingdings" w:eastAsia="宋体" w:hAnsi="Wingdings" w:cs="Wingdings"/>
          <w:color w:val="000000"/>
          <w:kern w:val="0"/>
          <w:sz w:val="23"/>
          <w:szCs w:val="23"/>
        </w:rPr>
        <w:t></w:t>
      </w:r>
      <w:r>
        <w:rPr>
          <w:rFonts w:ascii="宋体" w:eastAsia="宋体" w:hAnsi="宋体" w:hint="eastAsia"/>
          <w:sz w:val="24"/>
        </w:rPr>
        <w:t>2021年度利润分配预案尚需2021年年度股东大会审议批准。</w:t>
      </w:r>
    </w:p>
    <w:p w:rsidR="00604814" w:rsidRDefault="00604814">
      <w:pPr>
        <w:pStyle w:val="Default"/>
      </w:pPr>
    </w:p>
    <w:p w:rsidR="00604814" w:rsidRDefault="004B6BED">
      <w:pPr>
        <w:pStyle w:val="Default"/>
        <w:spacing w:line="360" w:lineRule="auto"/>
        <w:ind w:firstLineChars="200" w:firstLine="480"/>
        <w:rPr>
          <w:rFonts w:hAnsi="宋体"/>
          <w:b/>
        </w:rPr>
      </w:pPr>
      <w:r>
        <w:rPr>
          <w:rFonts w:hAnsi="宋体"/>
        </w:rPr>
        <w:t xml:space="preserve"> </w:t>
      </w:r>
      <w:r>
        <w:rPr>
          <w:rFonts w:hAnsi="宋体" w:hint="eastAsia"/>
          <w:b/>
        </w:rPr>
        <w:t>一、利润分配预案</w:t>
      </w:r>
    </w:p>
    <w:p w:rsidR="00604814" w:rsidRDefault="004B6BED">
      <w:pPr>
        <w:spacing w:line="360" w:lineRule="auto"/>
        <w:ind w:firstLineChars="200" w:firstLine="480"/>
        <w:rPr>
          <w:rFonts w:ascii="宋体" w:eastAsia="宋体" w:hAnsi="宋体"/>
          <w:sz w:val="24"/>
        </w:rPr>
      </w:pPr>
      <w:r>
        <w:rPr>
          <w:rFonts w:ascii="宋体" w:eastAsia="宋体" w:hAnsi="宋体" w:hint="eastAsia"/>
          <w:sz w:val="24"/>
        </w:rPr>
        <w:t>兴业银行股份有限公司（以下简称本公司）2021年度经毕马威华振</w:t>
      </w:r>
      <w:r>
        <w:rPr>
          <w:rFonts w:ascii="宋体" w:eastAsia="宋体" w:hAnsi="宋体"/>
          <w:sz w:val="24"/>
        </w:rPr>
        <w:t>会计师事务所</w:t>
      </w:r>
      <w:r>
        <w:rPr>
          <w:rFonts w:ascii="宋体" w:eastAsia="宋体" w:hAnsi="宋体" w:hint="eastAsia"/>
          <w:sz w:val="24"/>
        </w:rPr>
        <w:t>（特殊普通合伙）审计的中国会计准则合并报表口径归属于母公司股东的净利润为826.80亿元，母公司法人口径净利润为757.81亿元。经本公司第十届董事会第五次会议审议通过，本公司2021年度拟以母公司法人口径净利润为基数，向实施权益分派股权登记日登记在册的普通股股东分配利润。具体利润分配预案如下：</w:t>
      </w:r>
    </w:p>
    <w:p w:rsidR="00604814" w:rsidRDefault="004B6BED">
      <w:pPr>
        <w:spacing w:line="360" w:lineRule="auto"/>
        <w:ind w:firstLineChars="200" w:firstLine="480"/>
        <w:rPr>
          <w:rFonts w:ascii="宋体" w:eastAsia="宋体" w:hAnsi="宋体"/>
          <w:sz w:val="24"/>
        </w:rPr>
      </w:pPr>
      <w:r>
        <w:rPr>
          <w:rFonts w:ascii="宋体" w:eastAsia="宋体" w:hAnsi="宋体" w:hint="eastAsia"/>
          <w:bCs/>
          <w:sz w:val="24"/>
        </w:rPr>
        <w:t>（一）提取法定盈余公积。根据《中华人民共和国公司法》的规定，</w:t>
      </w:r>
      <w:r>
        <w:rPr>
          <w:rFonts w:ascii="宋体" w:eastAsia="宋体" w:hAnsi="宋体"/>
          <w:sz w:val="24"/>
        </w:rPr>
        <w:t>20</w:t>
      </w:r>
      <w:r>
        <w:rPr>
          <w:rFonts w:ascii="宋体" w:eastAsia="宋体" w:hAnsi="宋体" w:hint="eastAsia"/>
          <w:sz w:val="24"/>
        </w:rPr>
        <w:t>21年末本公司法定盈余公</w:t>
      </w:r>
      <w:proofErr w:type="gramStart"/>
      <w:r>
        <w:rPr>
          <w:rFonts w:ascii="宋体" w:eastAsia="宋体" w:hAnsi="宋体" w:hint="eastAsia"/>
          <w:sz w:val="24"/>
        </w:rPr>
        <w:t>积已经</w:t>
      </w:r>
      <w:proofErr w:type="gramEnd"/>
      <w:r>
        <w:rPr>
          <w:rFonts w:ascii="宋体" w:eastAsia="宋体" w:hAnsi="宋体" w:hint="eastAsia"/>
          <w:sz w:val="24"/>
        </w:rPr>
        <w:t>达到注册资本的百分之五十，不再提取。</w:t>
      </w:r>
    </w:p>
    <w:p w:rsidR="00604814" w:rsidRDefault="004B6BED">
      <w:pPr>
        <w:spacing w:line="360" w:lineRule="auto"/>
        <w:ind w:firstLineChars="200" w:firstLine="480"/>
        <w:rPr>
          <w:rFonts w:ascii="宋体" w:eastAsia="宋体" w:hAnsi="宋体"/>
          <w:sz w:val="24"/>
        </w:rPr>
      </w:pPr>
      <w:r>
        <w:rPr>
          <w:rFonts w:ascii="宋体" w:eastAsia="宋体" w:hAnsi="宋体" w:hint="eastAsia"/>
          <w:bCs/>
          <w:sz w:val="24"/>
        </w:rPr>
        <w:t>（二）提取一般准备。</w:t>
      </w:r>
      <w:r>
        <w:rPr>
          <w:rFonts w:ascii="宋体" w:eastAsia="宋体" w:hAnsi="宋体" w:hint="eastAsia"/>
          <w:sz w:val="24"/>
        </w:rPr>
        <w:t>根据财政部《金融企业准备金计提管理办法》的规定，提取一般准备人民币77.94亿元。</w:t>
      </w:r>
    </w:p>
    <w:p w:rsidR="00604814" w:rsidRDefault="004B6BED">
      <w:pPr>
        <w:spacing w:line="360" w:lineRule="auto"/>
        <w:ind w:firstLineChars="200" w:firstLine="480"/>
        <w:rPr>
          <w:rFonts w:ascii="宋体" w:eastAsia="宋体" w:hAnsi="宋体"/>
          <w:bCs/>
          <w:sz w:val="24"/>
        </w:rPr>
      </w:pPr>
      <w:r>
        <w:rPr>
          <w:rFonts w:ascii="宋体" w:eastAsia="宋体" w:hAnsi="宋体" w:hint="eastAsia"/>
          <w:bCs/>
          <w:sz w:val="24"/>
        </w:rPr>
        <w:t>（三）支付优先股股息。本公司以非公开方式发行三期人民币优先股，合计560</w:t>
      </w:r>
      <w:r>
        <w:rPr>
          <w:rFonts w:ascii="宋体" w:eastAsia="宋体" w:hAnsi="宋体" w:hint="eastAsia"/>
          <w:bCs/>
          <w:sz w:val="24"/>
        </w:rPr>
        <w:lastRenderedPageBreak/>
        <w:t>亿元，2021年度应付优先股股息人民币27.93亿元。</w:t>
      </w:r>
    </w:p>
    <w:p w:rsidR="00604814" w:rsidRDefault="004B6BED">
      <w:pPr>
        <w:spacing w:line="360" w:lineRule="auto"/>
        <w:ind w:firstLineChars="200" w:firstLine="480"/>
        <w:rPr>
          <w:rFonts w:ascii="宋体" w:eastAsia="宋体" w:hAnsi="宋体"/>
          <w:bCs/>
          <w:sz w:val="24"/>
        </w:rPr>
      </w:pPr>
      <w:r>
        <w:rPr>
          <w:rFonts w:ascii="宋体" w:eastAsia="宋体" w:hAnsi="宋体" w:hint="eastAsia"/>
          <w:bCs/>
          <w:sz w:val="24"/>
        </w:rPr>
        <w:t>（四）分配普通股股利，拟派发现金股利人民币215.01亿元。</w:t>
      </w:r>
    </w:p>
    <w:p w:rsidR="00604814" w:rsidRPr="005C65CD" w:rsidRDefault="004B6BED">
      <w:pPr>
        <w:spacing w:line="360" w:lineRule="auto"/>
        <w:ind w:firstLineChars="200" w:firstLine="480"/>
        <w:rPr>
          <w:rFonts w:ascii="宋体" w:eastAsia="宋体" w:hAnsi="宋体"/>
          <w:sz w:val="24"/>
        </w:rPr>
      </w:pPr>
      <w:r>
        <w:rPr>
          <w:rFonts w:ascii="宋体" w:eastAsia="宋体" w:hAnsi="宋体" w:hint="eastAsia"/>
          <w:sz w:val="24"/>
        </w:rPr>
        <w:t>根据本公司章程对利润分配政策的有关规定，综合考虑监管部门对商业银行资本充足率的要求、广大投资者诉求和本公司业务持续发</w:t>
      </w:r>
      <w:r w:rsidRPr="005C65CD">
        <w:rPr>
          <w:rFonts w:ascii="宋体" w:eastAsia="宋体" w:hAnsi="宋体" w:hint="eastAsia"/>
          <w:sz w:val="24"/>
        </w:rPr>
        <w:t>展需求，拟向实施权益分派股权登记日登记在册的普通股股东派发现金股利，每</w:t>
      </w:r>
      <w:r w:rsidRPr="005C65CD">
        <w:rPr>
          <w:rFonts w:ascii="宋体" w:eastAsia="宋体" w:hAnsi="宋体"/>
          <w:sz w:val="24"/>
        </w:rPr>
        <w:t>10</w:t>
      </w:r>
      <w:r w:rsidRPr="005C65CD">
        <w:rPr>
          <w:rFonts w:ascii="宋体" w:eastAsia="宋体" w:hAnsi="宋体" w:hint="eastAsia"/>
          <w:sz w:val="24"/>
        </w:rPr>
        <w:t>股派发现金股利人民币10.35元（含税），按截止2021年末普通股总股本20,774,190,751股计算，合计拟派发现金股利人民币215.01亿元。</w:t>
      </w:r>
    </w:p>
    <w:p w:rsidR="00604814" w:rsidRPr="005C65CD" w:rsidRDefault="004B6BED">
      <w:pPr>
        <w:spacing w:line="360" w:lineRule="auto"/>
        <w:ind w:firstLineChars="200" w:firstLine="480"/>
        <w:rPr>
          <w:rFonts w:ascii="宋体" w:eastAsia="宋体" w:hAnsi="宋体"/>
          <w:sz w:val="24"/>
        </w:rPr>
      </w:pPr>
      <w:r w:rsidRPr="005C65CD">
        <w:rPr>
          <w:rFonts w:ascii="宋体" w:eastAsia="宋体" w:hAnsi="宋体" w:hint="eastAsia"/>
          <w:sz w:val="24"/>
        </w:rPr>
        <w:t>上述分配预案执行后，留存未分配利润将转入下一年度，用于本公司补充核心一级资本。</w:t>
      </w:r>
    </w:p>
    <w:p w:rsidR="00604814" w:rsidRPr="005C65CD" w:rsidRDefault="004B6BED">
      <w:pPr>
        <w:spacing w:line="360" w:lineRule="auto"/>
        <w:ind w:firstLineChars="200" w:firstLine="482"/>
        <w:rPr>
          <w:rFonts w:ascii="宋体" w:eastAsia="宋体" w:hAnsi="宋体"/>
          <w:b/>
          <w:sz w:val="24"/>
        </w:rPr>
      </w:pPr>
      <w:r w:rsidRPr="005C65CD">
        <w:rPr>
          <w:rFonts w:ascii="宋体" w:eastAsia="宋体" w:hAnsi="宋体" w:hint="eastAsia"/>
          <w:b/>
          <w:sz w:val="24"/>
        </w:rPr>
        <w:t>二、本年度现金分红比例低于30%的情况说明</w:t>
      </w:r>
    </w:p>
    <w:p w:rsidR="00604814" w:rsidRPr="005C65CD" w:rsidRDefault="004B6BED">
      <w:pPr>
        <w:spacing w:line="360" w:lineRule="auto"/>
        <w:ind w:firstLineChars="200" w:firstLine="480"/>
        <w:rPr>
          <w:rFonts w:ascii="宋体" w:eastAsia="宋体" w:hAnsi="宋体"/>
          <w:sz w:val="24"/>
        </w:rPr>
      </w:pPr>
      <w:r w:rsidRPr="005C65CD">
        <w:rPr>
          <w:rFonts w:ascii="宋体" w:eastAsia="宋体" w:hAnsi="宋体" w:hint="eastAsia"/>
          <w:sz w:val="24"/>
        </w:rPr>
        <w:t>报告期内，本公司合并报表口径归属于母公司股东的净利润826.80亿元，合并报表口径归属于母公司普通股股东的净利润784.20亿元，按截止2021年末普通股总股本20,774,190,751股计算，合计拟派发现金股利人民币215.01亿元，占本年度合并报表中归属于母公司股东的净利润的比例为26.01%，占本年度合并报表口径归属于母公司普通股股东的净利润的比例为27.42</w:t>
      </w:r>
      <w:r w:rsidRPr="005C65CD">
        <w:rPr>
          <w:rFonts w:ascii="宋体" w:eastAsia="宋体" w:hAnsi="宋体"/>
          <w:sz w:val="24"/>
        </w:rPr>
        <w:t>%</w:t>
      </w:r>
      <w:r w:rsidRPr="005C65CD">
        <w:rPr>
          <w:rFonts w:ascii="宋体" w:eastAsia="宋体" w:hAnsi="宋体" w:hint="eastAsia"/>
          <w:sz w:val="24"/>
        </w:rPr>
        <w:t>。主要考虑因素如下：</w:t>
      </w:r>
    </w:p>
    <w:p w:rsidR="00604814" w:rsidRPr="005C65CD" w:rsidRDefault="004B6BED">
      <w:pPr>
        <w:spacing w:line="360" w:lineRule="auto"/>
        <w:ind w:firstLineChars="200" w:firstLine="480"/>
        <w:rPr>
          <w:rFonts w:ascii="宋体" w:eastAsia="宋体" w:hAnsi="宋体"/>
          <w:sz w:val="24"/>
        </w:rPr>
      </w:pPr>
      <w:r w:rsidRPr="005C65CD">
        <w:rPr>
          <w:rFonts w:ascii="宋体" w:eastAsia="宋体" w:hAnsi="宋体" w:hint="eastAsia"/>
          <w:sz w:val="24"/>
        </w:rPr>
        <w:t>（一）外部经营环境影响商业银行内生资本积累。世纪疫情冲击下、外部环境更趋复杂严峻和不确定性，为应对各种风险挑战，商业银行应加强内生资本积累，提升抵御风险能力。</w:t>
      </w:r>
    </w:p>
    <w:p w:rsidR="00604814" w:rsidRPr="005C65CD" w:rsidRDefault="004B6BED">
      <w:pPr>
        <w:spacing w:line="360" w:lineRule="auto"/>
        <w:ind w:firstLineChars="200" w:firstLine="480"/>
        <w:rPr>
          <w:rFonts w:ascii="宋体" w:eastAsia="宋体" w:hAnsi="宋体"/>
          <w:sz w:val="24"/>
        </w:rPr>
      </w:pPr>
      <w:r w:rsidRPr="005C65CD">
        <w:rPr>
          <w:rFonts w:ascii="宋体" w:eastAsia="宋体" w:hAnsi="宋体" w:hint="eastAsia"/>
          <w:sz w:val="24"/>
        </w:rPr>
        <w:t>（二）资本监管要求提高。中国人民银行、银保监会联合发布《系统重要性银行评估办法》《系统重要性银行附加监管规定（试行）》等相关制度，以及</w:t>
      </w:r>
      <w:proofErr w:type="gramStart"/>
      <w:r w:rsidRPr="005C65CD">
        <w:rPr>
          <w:rFonts w:ascii="宋体" w:eastAsia="宋体" w:hAnsi="宋体" w:hint="eastAsia"/>
          <w:sz w:val="24"/>
        </w:rPr>
        <w:t>后续巴</w:t>
      </w:r>
      <w:proofErr w:type="gramEnd"/>
      <w:r w:rsidRPr="005C65CD">
        <w:rPr>
          <w:rFonts w:ascii="宋体" w:eastAsia="宋体" w:hAnsi="宋体" w:hint="eastAsia"/>
          <w:sz w:val="24"/>
        </w:rPr>
        <w:t>塞尔协议Ⅲ的实施等外部政策，对商业银行的资本监管要求不断提高。</w:t>
      </w:r>
    </w:p>
    <w:p w:rsidR="00604814" w:rsidRPr="005C65CD" w:rsidRDefault="004B6BED">
      <w:pPr>
        <w:spacing w:line="360" w:lineRule="auto"/>
        <w:ind w:firstLineChars="200" w:firstLine="480"/>
        <w:rPr>
          <w:rFonts w:ascii="宋体" w:eastAsia="宋体" w:hAnsi="宋体"/>
          <w:sz w:val="24"/>
        </w:rPr>
      </w:pPr>
      <w:r w:rsidRPr="005C65CD">
        <w:rPr>
          <w:rFonts w:ascii="宋体" w:eastAsia="宋体" w:hAnsi="宋体" w:hint="eastAsia"/>
          <w:sz w:val="24"/>
        </w:rPr>
        <w:t>（三）贯彻落实党中央决策部署以及中央经济工作会议精神，按照稳中求进的工作总基调，持续加大信贷投放，提升服务实体经济的质效。公司分红方案已考虑上述业务发展、以及支持公司发展战略实施的资本需求。</w:t>
      </w:r>
    </w:p>
    <w:p w:rsidR="00604814" w:rsidRPr="005C65CD" w:rsidRDefault="004B6BED">
      <w:pPr>
        <w:spacing w:line="360" w:lineRule="auto"/>
        <w:ind w:firstLineChars="200" w:firstLine="480"/>
        <w:rPr>
          <w:rFonts w:ascii="宋体" w:eastAsia="宋体" w:hAnsi="宋体"/>
          <w:sz w:val="24"/>
        </w:rPr>
      </w:pPr>
      <w:r w:rsidRPr="005C65CD">
        <w:rPr>
          <w:rFonts w:ascii="宋体" w:eastAsia="宋体" w:hAnsi="宋体" w:hint="eastAsia"/>
          <w:sz w:val="24"/>
        </w:rPr>
        <w:t>（四）充分考虑广大投资者的诉求。本公司持续加强与各类别投资者的沟通交流，在制定利润分配预案时充分考虑和权衡了各类别投资者的不同诉求。</w:t>
      </w:r>
    </w:p>
    <w:p w:rsidR="00604814" w:rsidRDefault="004B6BED">
      <w:pPr>
        <w:spacing w:line="360" w:lineRule="auto"/>
        <w:ind w:firstLineChars="200" w:firstLine="480"/>
        <w:rPr>
          <w:rFonts w:ascii="宋体" w:eastAsia="宋体" w:hAnsi="宋体"/>
          <w:sz w:val="24"/>
        </w:rPr>
      </w:pPr>
      <w:r w:rsidRPr="005C65CD">
        <w:rPr>
          <w:rFonts w:ascii="宋体" w:eastAsia="宋体" w:hAnsi="宋体" w:hint="eastAsia"/>
          <w:sz w:val="24"/>
        </w:rPr>
        <w:t>综合考虑</w:t>
      </w:r>
      <w:proofErr w:type="gramStart"/>
      <w:r w:rsidRPr="005C65CD">
        <w:rPr>
          <w:rFonts w:ascii="宋体" w:eastAsia="宋体" w:hAnsi="宋体" w:hint="eastAsia"/>
          <w:sz w:val="24"/>
        </w:rPr>
        <w:t>上述内</w:t>
      </w:r>
      <w:proofErr w:type="gramEnd"/>
      <w:r w:rsidRPr="005C65CD">
        <w:rPr>
          <w:rFonts w:ascii="宋体" w:eastAsia="宋体" w:hAnsi="宋体" w:hint="eastAsia"/>
          <w:sz w:val="24"/>
        </w:rPr>
        <w:t>外部因素，本公司分红政策总体保持连续性和稳定性，现金分红率逐年提高，兼顾了本公司的股东利益以及自身可持续发展需要</w:t>
      </w:r>
      <w:r>
        <w:rPr>
          <w:rFonts w:ascii="宋体" w:eastAsia="宋体" w:hAnsi="宋体" w:hint="eastAsia"/>
          <w:sz w:val="24"/>
        </w:rPr>
        <w:t>。</w:t>
      </w:r>
    </w:p>
    <w:p w:rsidR="000F7C32" w:rsidRDefault="000F7C32">
      <w:pPr>
        <w:spacing w:line="360" w:lineRule="auto"/>
        <w:ind w:firstLineChars="200" w:firstLine="480"/>
        <w:rPr>
          <w:rFonts w:ascii="宋体" w:eastAsia="宋体" w:hAnsi="宋体"/>
          <w:sz w:val="24"/>
        </w:rPr>
      </w:pPr>
    </w:p>
    <w:p w:rsidR="00604814" w:rsidRDefault="004B6BED">
      <w:pPr>
        <w:spacing w:line="360" w:lineRule="auto"/>
        <w:ind w:firstLineChars="200" w:firstLine="482"/>
        <w:rPr>
          <w:rFonts w:ascii="宋体" w:eastAsia="宋体" w:hAnsi="宋体"/>
          <w:b/>
          <w:sz w:val="24"/>
        </w:rPr>
      </w:pPr>
      <w:r>
        <w:rPr>
          <w:rFonts w:ascii="宋体" w:eastAsia="宋体" w:hAnsi="宋体" w:hint="eastAsia"/>
          <w:b/>
          <w:sz w:val="24"/>
        </w:rPr>
        <w:lastRenderedPageBreak/>
        <w:t>三、履行的决策程序</w:t>
      </w:r>
    </w:p>
    <w:p w:rsidR="00604814" w:rsidRDefault="004B6BED">
      <w:pPr>
        <w:spacing w:line="360" w:lineRule="auto"/>
        <w:ind w:firstLineChars="200" w:firstLine="480"/>
        <w:rPr>
          <w:rFonts w:ascii="宋体" w:eastAsia="宋体" w:hAnsi="宋体"/>
          <w:sz w:val="24"/>
        </w:rPr>
      </w:pPr>
      <w:r>
        <w:rPr>
          <w:rFonts w:ascii="宋体" w:eastAsia="宋体" w:hAnsi="宋体" w:hint="eastAsia"/>
          <w:sz w:val="24"/>
        </w:rPr>
        <w:t>（一）董事会会议的召开、审议和表决情况</w:t>
      </w:r>
      <w:r>
        <w:rPr>
          <w:rFonts w:ascii="宋体" w:eastAsia="宋体" w:hAnsi="宋体"/>
          <w:sz w:val="24"/>
        </w:rPr>
        <w:t xml:space="preserve"> </w:t>
      </w:r>
    </w:p>
    <w:p w:rsidR="00604814" w:rsidRDefault="004B6BED">
      <w:pPr>
        <w:spacing w:line="360" w:lineRule="auto"/>
        <w:ind w:firstLineChars="200" w:firstLine="480"/>
        <w:rPr>
          <w:rFonts w:ascii="宋体" w:eastAsia="宋体" w:hAnsi="宋体"/>
          <w:sz w:val="24"/>
        </w:rPr>
      </w:pPr>
      <w:r>
        <w:rPr>
          <w:rFonts w:ascii="宋体" w:eastAsia="宋体" w:hAnsi="宋体" w:hint="eastAsia"/>
          <w:sz w:val="24"/>
        </w:rPr>
        <w:t>本公司于</w:t>
      </w:r>
      <w:r>
        <w:rPr>
          <w:rFonts w:ascii="宋体" w:eastAsia="宋体" w:hAnsi="宋体"/>
          <w:sz w:val="24"/>
        </w:rPr>
        <w:t>202</w:t>
      </w:r>
      <w:r>
        <w:rPr>
          <w:rFonts w:ascii="宋体" w:eastAsia="宋体" w:hAnsi="宋体" w:hint="eastAsia"/>
          <w:sz w:val="24"/>
        </w:rPr>
        <w:t>2年3月24日召开第十届董事会第五次会议审议通过了《</w:t>
      </w:r>
      <w:r>
        <w:rPr>
          <w:rFonts w:ascii="宋体" w:eastAsia="宋体" w:hAnsi="宋体"/>
          <w:sz w:val="24"/>
        </w:rPr>
        <w:t>20</w:t>
      </w:r>
      <w:r>
        <w:rPr>
          <w:rFonts w:ascii="宋体" w:eastAsia="宋体" w:hAnsi="宋体" w:hint="eastAsia"/>
          <w:sz w:val="24"/>
        </w:rPr>
        <w:t>21年度利润分配预案》，全体董事一致同意将</w:t>
      </w:r>
      <w:r>
        <w:rPr>
          <w:rFonts w:ascii="宋体" w:eastAsia="宋体" w:hAnsi="宋体"/>
          <w:sz w:val="24"/>
        </w:rPr>
        <w:t>20</w:t>
      </w:r>
      <w:r>
        <w:rPr>
          <w:rFonts w:ascii="宋体" w:eastAsia="宋体" w:hAnsi="宋体" w:hint="eastAsia"/>
          <w:sz w:val="24"/>
        </w:rPr>
        <w:t>21年度利润分配预案提交</w:t>
      </w:r>
      <w:r>
        <w:rPr>
          <w:rFonts w:ascii="宋体" w:eastAsia="宋体" w:hAnsi="宋体"/>
          <w:sz w:val="24"/>
        </w:rPr>
        <w:t>20</w:t>
      </w:r>
      <w:r>
        <w:rPr>
          <w:rFonts w:ascii="宋体" w:eastAsia="宋体" w:hAnsi="宋体" w:hint="eastAsia"/>
          <w:sz w:val="24"/>
        </w:rPr>
        <w:t>21年年度股东大会审议。</w:t>
      </w:r>
      <w:r>
        <w:rPr>
          <w:rFonts w:ascii="宋体" w:eastAsia="宋体" w:hAnsi="宋体"/>
          <w:sz w:val="24"/>
        </w:rPr>
        <w:t xml:space="preserve"> </w:t>
      </w:r>
    </w:p>
    <w:p w:rsidR="00604814" w:rsidRDefault="004B6BED">
      <w:pPr>
        <w:spacing w:line="360" w:lineRule="auto"/>
        <w:ind w:firstLineChars="200" w:firstLine="480"/>
        <w:rPr>
          <w:rFonts w:ascii="宋体" w:eastAsia="宋体" w:hAnsi="宋体"/>
          <w:sz w:val="24"/>
        </w:rPr>
      </w:pPr>
      <w:r>
        <w:rPr>
          <w:rFonts w:ascii="宋体" w:eastAsia="宋体" w:hAnsi="宋体" w:hint="eastAsia"/>
          <w:sz w:val="24"/>
        </w:rPr>
        <w:t>（二）独立董事意见</w:t>
      </w:r>
      <w:r>
        <w:rPr>
          <w:rFonts w:ascii="宋体" w:eastAsia="宋体" w:hAnsi="宋体"/>
          <w:sz w:val="24"/>
        </w:rPr>
        <w:t xml:space="preserve"> </w:t>
      </w:r>
    </w:p>
    <w:p w:rsidR="00604814" w:rsidRDefault="004B6BED">
      <w:pPr>
        <w:spacing w:line="360" w:lineRule="auto"/>
        <w:ind w:firstLineChars="200" w:firstLine="480"/>
        <w:rPr>
          <w:rFonts w:ascii="宋体" w:eastAsia="宋体" w:hAnsi="宋体"/>
          <w:sz w:val="24"/>
        </w:rPr>
      </w:pPr>
      <w:r>
        <w:rPr>
          <w:rFonts w:ascii="宋体" w:eastAsia="宋体" w:hAnsi="宋体" w:hint="eastAsia"/>
          <w:sz w:val="24"/>
        </w:rPr>
        <w:t>本公司全体独立董事认为：本公司</w:t>
      </w:r>
      <w:r>
        <w:rPr>
          <w:rFonts w:ascii="宋体" w:eastAsia="宋体" w:hAnsi="宋体" w:hint="eastAsia"/>
          <w:bCs/>
          <w:sz w:val="24"/>
        </w:rPr>
        <w:t>2021年度利润分配预案严格遵守《中华人民共和国公司法》《金融企业准备金计提管理办法》（财金〔2012〕20号）、中国证监会《上市公司监管指引第</w:t>
      </w:r>
      <w:r>
        <w:rPr>
          <w:rFonts w:ascii="宋体" w:eastAsia="宋体" w:hAnsi="宋体"/>
          <w:bCs/>
          <w:sz w:val="24"/>
        </w:rPr>
        <w:t xml:space="preserve">3 </w:t>
      </w:r>
      <w:r>
        <w:rPr>
          <w:rFonts w:ascii="宋体" w:eastAsia="宋体" w:hAnsi="宋体" w:hint="eastAsia"/>
          <w:bCs/>
          <w:sz w:val="24"/>
        </w:rPr>
        <w:t>号——上市公司现金分红》、</w:t>
      </w:r>
      <w:hyperlink r:id="rId8" w:tgtFrame="_blank" w:tooltip="上海证券交易所上市公司自律监管指引第1号——规范运作" w:history="1">
        <w:r>
          <w:rPr>
            <w:rStyle w:val="a9"/>
            <w:rFonts w:ascii="宋体" w:eastAsia="宋体" w:hAnsi="宋体"/>
            <w:bCs/>
            <w:color w:val="auto"/>
            <w:sz w:val="24"/>
            <w:u w:val="none"/>
          </w:rPr>
          <w:t>上海证券交易所《上市公司自律监管指引第1号——规范运作</w:t>
        </w:r>
      </w:hyperlink>
      <w:r>
        <w:rPr>
          <w:rFonts w:ascii="宋体" w:eastAsia="宋体" w:hAnsi="宋体"/>
          <w:bCs/>
          <w:sz w:val="24"/>
        </w:rPr>
        <w:t>》</w:t>
      </w:r>
      <w:r>
        <w:rPr>
          <w:rFonts w:ascii="宋体" w:eastAsia="宋体" w:hAnsi="宋体" w:hint="eastAsia"/>
          <w:bCs/>
          <w:sz w:val="24"/>
        </w:rPr>
        <w:t>和公司章程等有关规定，分配顺序合法，股利发放政策在满足监管部门有关商业银行资本充足率要求的前提下，充分考虑了各类别投资者的诉求，兼顾了公司</w:t>
      </w:r>
      <w:r w:rsidR="00994B1B">
        <w:rPr>
          <w:rFonts w:ascii="宋体" w:eastAsia="宋体" w:hAnsi="宋体" w:hint="eastAsia"/>
          <w:bCs/>
          <w:sz w:val="24"/>
        </w:rPr>
        <w:t>业务</w:t>
      </w:r>
      <w:bookmarkStart w:id="0" w:name="_GoBack"/>
      <w:bookmarkEnd w:id="0"/>
      <w:r>
        <w:rPr>
          <w:rFonts w:ascii="宋体" w:eastAsia="宋体" w:hAnsi="宋体" w:hint="eastAsia"/>
          <w:bCs/>
          <w:sz w:val="24"/>
        </w:rPr>
        <w:t>持续发展的需要。</w:t>
      </w:r>
      <w:r>
        <w:rPr>
          <w:rFonts w:ascii="宋体" w:eastAsia="宋体" w:hAnsi="宋体" w:hint="eastAsia"/>
          <w:sz w:val="24"/>
        </w:rPr>
        <w:t>同意将</w:t>
      </w:r>
      <w:r>
        <w:rPr>
          <w:rFonts w:ascii="宋体" w:eastAsia="宋体" w:hAnsi="宋体"/>
          <w:sz w:val="24"/>
        </w:rPr>
        <w:t>20</w:t>
      </w:r>
      <w:r>
        <w:rPr>
          <w:rFonts w:ascii="宋体" w:eastAsia="宋体" w:hAnsi="宋体" w:hint="eastAsia"/>
          <w:sz w:val="24"/>
        </w:rPr>
        <w:t>21年度利润分配预案提交</w:t>
      </w:r>
      <w:r>
        <w:rPr>
          <w:rFonts w:ascii="宋体" w:eastAsia="宋体" w:hAnsi="宋体"/>
          <w:sz w:val="24"/>
        </w:rPr>
        <w:t>20</w:t>
      </w:r>
      <w:r>
        <w:rPr>
          <w:rFonts w:ascii="宋体" w:eastAsia="宋体" w:hAnsi="宋体" w:hint="eastAsia"/>
          <w:sz w:val="24"/>
        </w:rPr>
        <w:t>21年年度股东大会审议。</w:t>
      </w:r>
      <w:r>
        <w:rPr>
          <w:rFonts w:ascii="宋体" w:eastAsia="宋体" w:hAnsi="宋体"/>
          <w:sz w:val="24"/>
        </w:rPr>
        <w:t xml:space="preserve"> </w:t>
      </w:r>
    </w:p>
    <w:p w:rsidR="00604814" w:rsidRDefault="004B6BED">
      <w:pPr>
        <w:spacing w:line="360" w:lineRule="auto"/>
        <w:ind w:firstLineChars="200" w:firstLine="480"/>
        <w:rPr>
          <w:rFonts w:ascii="宋体" w:eastAsia="宋体" w:hAnsi="宋体"/>
          <w:sz w:val="24"/>
        </w:rPr>
      </w:pPr>
      <w:r>
        <w:rPr>
          <w:rFonts w:ascii="宋体" w:eastAsia="宋体" w:hAnsi="宋体" w:hint="eastAsia"/>
          <w:sz w:val="24"/>
        </w:rPr>
        <w:t>（三）监事会意见</w:t>
      </w:r>
      <w:r>
        <w:rPr>
          <w:rFonts w:ascii="宋体" w:eastAsia="宋体" w:hAnsi="宋体"/>
          <w:sz w:val="24"/>
        </w:rPr>
        <w:t xml:space="preserve"> </w:t>
      </w:r>
    </w:p>
    <w:p w:rsidR="00604814" w:rsidRDefault="004B6BED">
      <w:pPr>
        <w:spacing w:line="360" w:lineRule="auto"/>
        <w:ind w:firstLineChars="200" w:firstLine="480"/>
        <w:rPr>
          <w:rFonts w:ascii="宋体" w:eastAsia="宋体" w:hAnsi="宋体"/>
          <w:sz w:val="24"/>
        </w:rPr>
      </w:pPr>
      <w:r>
        <w:rPr>
          <w:rFonts w:ascii="宋体" w:eastAsia="宋体" w:hAnsi="宋体" w:hint="eastAsia"/>
          <w:sz w:val="24"/>
          <w:szCs w:val="22"/>
        </w:rPr>
        <w:t>本公司于</w:t>
      </w:r>
      <w:r>
        <w:rPr>
          <w:rFonts w:ascii="宋体" w:eastAsia="宋体" w:hAnsi="宋体"/>
          <w:sz w:val="24"/>
          <w:szCs w:val="22"/>
        </w:rPr>
        <w:t>202</w:t>
      </w:r>
      <w:r>
        <w:rPr>
          <w:rFonts w:ascii="宋体" w:eastAsia="宋体" w:hAnsi="宋体" w:hint="eastAsia"/>
          <w:sz w:val="24"/>
          <w:szCs w:val="22"/>
        </w:rPr>
        <w:t>2年3月23日召开第八届监事会第五次会议审议通过了</w:t>
      </w:r>
      <w:r>
        <w:rPr>
          <w:rFonts w:ascii="宋体" w:eastAsia="宋体" w:hAnsi="宋体" w:hint="eastAsia"/>
          <w:sz w:val="24"/>
        </w:rPr>
        <w:t>《</w:t>
      </w:r>
      <w:r>
        <w:rPr>
          <w:rFonts w:ascii="宋体" w:eastAsia="宋体" w:hAnsi="宋体"/>
          <w:sz w:val="24"/>
        </w:rPr>
        <w:t>20</w:t>
      </w:r>
      <w:r>
        <w:rPr>
          <w:rFonts w:ascii="宋体" w:eastAsia="宋体" w:hAnsi="宋体" w:hint="eastAsia"/>
          <w:sz w:val="24"/>
        </w:rPr>
        <w:t>21年度利润分配预案》，监事会认为《2021年度利润分配预案》及其决策程序符合本公司章程规定的利润分配政策以及本公司《中期股东回报规划（</w:t>
      </w:r>
      <w:r>
        <w:rPr>
          <w:rFonts w:ascii="宋体" w:eastAsia="宋体" w:hAnsi="宋体"/>
          <w:sz w:val="24"/>
        </w:rPr>
        <w:t>2021-2023</w:t>
      </w:r>
      <w:r>
        <w:rPr>
          <w:rFonts w:ascii="宋体" w:eastAsia="宋体" w:hAnsi="宋体" w:hint="eastAsia"/>
          <w:sz w:val="24"/>
        </w:rPr>
        <w:t>年）》。</w:t>
      </w:r>
    </w:p>
    <w:p w:rsidR="00604814" w:rsidRDefault="004B6BED">
      <w:pPr>
        <w:spacing w:line="360" w:lineRule="auto"/>
        <w:ind w:firstLineChars="200" w:firstLine="482"/>
        <w:rPr>
          <w:rFonts w:ascii="宋体" w:eastAsia="宋体" w:hAnsi="宋体"/>
          <w:b/>
          <w:sz w:val="24"/>
        </w:rPr>
      </w:pPr>
      <w:r>
        <w:rPr>
          <w:rFonts w:ascii="宋体" w:eastAsia="宋体" w:hAnsi="宋体" w:hint="eastAsia"/>
          <w:b/>
          <w:sz w:val="24"/>
        </w:rPr>
        <w:t>四、相关风险提示</w:t>
      </w:r>
    </w:p>
    <w:p w:rsidR="00604814" w:rsidRDefault="004B6BED">
      <w:pPr>
        <w:spacing w:line="360" w:lineRule="auto"/>
        <w:ind w:firstLineChars="200" w:firstLine="480"/>
        <w:rPr>
          <w:rFonts w:ascii="宋体" w:eastAsia="宋体" w:hAnsi="宋体"/>
          <w:sz w:val="24"/>
        </w:rPr>
      </w:pPr>
      <w:r>
        <w:rPr>
          <w:rFonts w:ascii="宋体" w:eastAsia="宋体" w:hAnsi="宋体" w:hint="eastAsia"/>
          <w:sz w:val="24"/>
        </w:rPr>
        <w:t>2021年度利润分配预案尚待</w:t>
      </w:r>
      <w:r>
        <w:rPr>
          <w:rFonts w:ascii="宋体" w:eastAsia="宋体" w:hAnsi="宋体"/>
          <w:sz w:val="24"/>
        </w:rPr>
        <w:t>20</w:t>
      </w:r>
      <w:r>
        <w:rPr>
          <w:rFonts w:ascii="宋体" w:eastAsia="宋体" w:hAnsi="宋体" w:hint="eastAsia"/>
          <w:sz w:val="24"/>
        </w:rPr>
        <w:t>21年年度股东大会审议通过后方可实施。</w:t>
      </w:r>
    </w:p>
    <w:p w:rsidR="00604814" w:rsidRDefault="004B6BED">
      <w:pPr>
        <w:spacing w:line="360" w:lineRule="auto"/>
        <w:ind w:firstLineChars="200" w:firstLine="480"/>
        <w:rPr>
          <w:rFonts w:ascii="宋体" w:eastAsia="宋体" w:hAnsi="宋体"/>
          <w:sz w:val="24"/>
        </w:rPr>
      </w:pPr>
      <w:r>
        <w:rPr>
          <w:rFonts w:ascii="宋体" w:eastAsia="宋体" w:hAnsi="宋体"/>
          <w:sz w:val="24"/>
        </w:rPr>
        <w:t>特此公告。</w:t>
      </w:r>
    </w:p>
    <w:p w:rsidR="00604814" w:rsidRDefault="00604814">
      <w:pPr>
        <w:spacing w:line="360" w:lineRule="auto"/>
        <w:rPr>
          <w:rFonts w:ascii="宋体" w:eastAsia="宋体" w:hAnsi="宋体"/>
          <w:sz w:val="24"/>
        </w:rPr>
      </w:pPr>
    </w:p>
    <w:p w:rsidR="00604814" w:rsidRDefault="004B6BED">
      <w:pPr>
        <w:pStyle w:val="Default"/>
        <w:spacing w:line="360" w:lineRule="auto"/>
        <w:ind w:firstLine="480"/>
        <w:jc w:val="right"/>
        <w:rPr>
          <w:rFonts w:hAnsi="宋体" w:cs="Times New Roman"/>
        </w:rPr>
      </w:pPr>
      <w:r>
        <w:rPr>
          <w:rFonts w:hAnsi="宋体" w:cs="Times New Roman" w:hint="eastAsia"/>
        </w:rPr>
        <w:t>兴业</w:t>
      </w:r>
      <w:r>
        <w:rPr>
          <w:rFonts w:hAnsi="宋体" w:cs="Times New Roman"/>
        </w:rPr>
        <w:t>银行股份有限公司董事会</w:t>
      </w:r>
    </w:p>
    <w:p w:rsidR="00604814" w:rsidRDefault="004B6BED">
      <w:pPr>
        <w:pStyle w:val="Default"/>
        <w:spacing w:line="360" w:lineRule="auto"/>
        <w:ind w:rightChars="181" w:right="507" w:firstLine="480"/>
        <w:jc w:val="right"/>
      </w:pPr>
      <w:r>
        <w:rPr>
          <w:rFonts w:hAnsi="宋体" w:cs="Times New Roman"/>
        </w:rPr>
        <w:t xml:space="preserve">                               </w:t>
      </w:r>
      <w:r>
        <w:rPr>
          <w:rFonts w:hAnsi="宋体" w:cs="Times New Roman" w:hint="eastAsia"/>
        </w:rPr>
        <w:t>2022</w:t>
      </w:r>
      <w:r>
        <w:rPr>
          <w:rFonts w:hAnsi="宋体" w:cs="Times New Roman"/>
        </w:rPr>
        <w:t>年</w:t>
      </w:r>
      <w:r>
        <w:rPr>
          <w:rFonts w:hAnsi="宋体" w:cs="Times New Roman" w:hint="eastAsia"/>
        </w:rPr>
        <w:t>3</w:t>
      </w:r>
      <w:r>
        <w:rPr>
          <w:rFonts w:hAnsi="宋体" w:cs="Times New Roman"/>
        </w:rPr>
        <w:t>月</w:t>
      </w:r>
      <w:r>
        <w:rPr>
          <w:rFonts w:hAnsi="宋体" w:cs="Times New Roman" w:hint="eastAsia"/>
        </w:rPr>
        <w:t>24</w:t>
      </w:r>
      <w:r>
        <w:rPr>
          <w:rFonts w:hAnsi="宋体" w:cs="Times New Roman"/>
        </w:rPr>
        <w:t>日</w:t>
      </w:r>
      <w:bookmarkStart w:id="1" w:name="_DV_M284"/>
      <w:bookmarkStart w:id="2" w:name="_DV_M116"/>
      <w:bookmarkStart w:id="3" w:name="_DV_M277"/>
      <w:bookmarkStart w:id="4" w:name="_DV_M117"/>
      <w:bookmarkStart w:id="5" w:name="_DV_M118"/>
      <w:bookmarkStart w:id="6" w:name="_DV_M278"/>
      <w:bookmarkStart w:id="7" w:name="_DV_M280"/>
      <w:bookmarkStart w:id="8" w:name="_DV_M282"/>
      <w:bookmarkStart w:id="9" w:name="_DV_M119"/>
      <w:bookmarkEnd w:id="1"/>
      <w:bookmarkEnd w:id="2"/>
      <w:bookmarkEnd w:id="3"/>
      <w:bookmarkEnd w:id="4"/>
      <w:bookmarkEnd w:id="5"/>
      <w:bookmarkEnd w:id="6"/>
      <w:bookmarkEnd w:id="7"/>
      <w:bookmarkEnd w:id="8"/>
      <w:bookmarkEnd w:id="9"/>
    </w:p>
    <w:sectPr w:rsidR="00604814">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15" w:rsidRDefault="00AE0015">
      <w:r>
        <w:separator/>
      </w:r>
    </w:p>
  </w:endnote>
  <w:endnote w:type="continuationSeparator" w:id="0">
    <w:p w:rsidR="00AE0015" w:rsidRDefault="00AE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14" w:rsidRDefault="004B6BED">
    <w:pPr>
      <w:pStyle w:val="a5"/>
      <w:jc w:val="center"/>
    </w:pPr>
    <w:r>
      <w:fldChar w:fldCharType="begin"/>
    </w:r>
    <w:r>
      <w:instrText>PAGE   \* MERGEFORMAT</w:instrText>
    </w:r>
    <w:r>
      <w:fldChar w:fldCharType="separate"/>
    </w:r>
    <w:r w:rsidR="00994B1B" w:rsidRPr="00994B1B">
      <w:rPr>
        <w:noProof/>
        <w:lang w:val="zh-CN"/>
      </w:rPr>
      <w:t>3</w:t>
    </w:r>
    <w:r>
      <w:fldChar w:fldCharType="end"/>
    </w:r>
  </w:p>
  <w:p w:rsidR="00604814" w:rsidRDefault="006048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15" w:rsidRDefault="00AE0015">
      <w:r>
        <w:separator/>
      </w:r>
    </w:p>
  </w:footnote>
  <w:footnote w:type="continuationSeparator" w:id="0">
    <w:p w:rsidR="00AE0015" w:rsidRDefault="00AE001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秉琳">
    <w15:presenceInfo w15:providerId="None" w15:userId="杨秉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7"/>
    <w:rsid w:val="000008CE"/>
    <w:rsid w:val="00021681"/>
    <w:rsid w:val="00031B36"/>
    <w:rsid w:val="00043641"/>
    <w:rsid w:val="00046A4B"/>
    <w:rsid w:val="00051DAF"/>
    <w:rsid w:val="00053E83"/>
    <w:rsid w:val="00057139"/>
    <w:rsid w:val="00067320"/>
    <w:rsid w:val="00070189"/>
    <w:rsid w:val="000718A3"/>
    <w:rsid w:val="00093A72"/>
    <w:rsid w:val="00094E8D"/>
    <w:rsid w:val="000953E7"/>
    <w:rsid w:val="000A1BA6"/>
    <w:rsid w:val="000A38FA"/>
    <w:rsid w:val="000A5E4F"/>
    <w:rsid w:val="000B0D6C"/>
    <w:rsid w:val="000B1644"/>
    <w:rsid w:val="000C5F53"/>
    <w:rsid w:val="000D31D3"/>
    <w:rsid w:val="000D35B1"/>
    <w:rsid w:val="000F2E80"/>
    <w:rsid w:val="000F64F4"/>
    <w:rsid w:val="000F7C32"/>
    <w:rsid w:val="00101680"/>
    <w:rsid w:val="00103490"/>
    <w:rsid w:val="0011579D"/>
    <w:rsid w:val="001171FB"/>
    <w:rsid w:val="0012530B"/>
    <w:rsid w:val="00137CB2"/>
    <w:rsid w:val="00143625"/>
    <w:rsid w:val="00155145"/>
    <w:rsid w:val="00156216"/>
    <w:rsid w:val="00164A3E"/>
    <w:rsid w:val="0016592A"/>
    <w:rsid w:val="00167645"/>
    <w:rsid w:val="001679CF"/>
    <w:rsid w:val="0017256B"/>
    <w:rsid w:val="00173D56"/>
    <w:rsid w:val="0017480C"/>
    <w:rsid w:val="0018485F"/>
    <w:rsid w:val="0019710A"/>
    <w:rsid w:val="00197D5F"/>
    <w:rsid w:val="001A129A"/>
    <w:rsid w:val="001A60EC"/>
    <w:rsid w:val="001A7D6A"/>
    <w:rsid w:val="001B2134"/>
    <w:rsid w:val="001C3758"/>
    <w:rsid w:val="001D147A"/>
    <w:rsid w:val="001D42BF"/>
    <w:rsid w:val="001D58B1"/>
    <w:rsid w:val="001E1924"/>
    <w:rsid w:val="001F0F48"/>
    <w:rsid w:val="001F3AED"/>
    <w:rsid w:val="001F7D8A"/>
    <w:rsid w:val="00206B1E"/>
    <w:rsid w:val="00214C1A"/>
    <w:rsid w:val="0021736F"/>
    <w:rsid w:val="00220A44"/>
    <w:rsid w:val="0022607E"/>
    <w:rsid w:val="00227749"/>
    <w:rsid w:val="0023236A"/>
    <w:rsid w:val="00240D74"/>
    <w:rsid w:val="00242936"/>
    <w:rsid w:val="00243AE8"/>
    <w:rsid w:val="002450C5"/>
    <w:rsid w:val="00257515"/>
    <w:rsid w:val="00257F66"/>
    <w:rsid w:val="00276B49"/>
    <w:rsid w:val="00280BFC"/>
    <w:rsid w:val="00281A1E"/>
    <w:rsid w:val="00282116"/>
    <w:rsid w:val="00290DF5"/>
    <w:rsid w:val="00291C5A"/>
    <w:rsid w:val="00291DC4"/>
    <w:rsid w:val="002A05C1"/>
    <w:rsid w:val="002B6CD7"/>
    <w:rsid w:val="002B79FB"/>
    <w:rsid w:val="002C1C5F"/>
    <w:rsid w:val="002C3E64"/>
    <w:rsid w:val="002C7793"/>
    <w:rsid w:val="002D701D"/>
    <w:rsid w:val="002E1F74"/>
    <w:rsid w:val="002E4FAD"/>
    <w:rsid w:val="002E53C8"/>
    <w:rsid w:val="002E7080"/>
    <w:rsid w:val="002F0AAB"/>
    <w:rsid w:val="002F234A"/>
    <w:rsid w:val="002F3E0C"/>
    <w:rsid w:val="002F561F"/>
    <w:rsid w:val="002F6C37"/>
    <w:rsid w:val="00303C1D"/>
    <w:rsid w:val="0030419F"/>
    <w:rsid w:val="00304E64"/>
    <w:rsid w:val="003055EA"/>
    <w:rsid w:val="00320B6D"/>
    <w:rsid w:val="00320DE1"/>
    <w:rsid w:val="00320F10"/>
    <w:rsid w:val="00324785"/>
    <w:rsid w:val="0032624F"/>
    <w:rsid w:val="00332C5F"/>
    <w:rsid w:val="0033729D"/>
    <w:rsid w:val="003437DC"/>
    <w:rsid w:val="0034680F"/>
    <w:rsid w:val="00346FE7"/>
    <w:rsid w:val="00347787"/>
    <w:rsid w:val="00347C25"/>
    <w:rsid w:val="00347D00"/>
    <w:rsid w:val="00351AB4"/>
    <w:rsid w:val="0036585E"/>
    <w:rsid w:val="00366765"/>
    <w:rsid w:val="0036676F"/>
    <w:rsid w:val="00366F6F"/>
    <w:rsid w:val="00371686"/>
    <w:rsid w:val="003742EB"/>
    <w:rsid w:val="00381A1A"/>
    <w:rsid w:val="00384E37"/>
    <w:rsid w:val="00384EF8"/>
    <w:rsid w:val="00387F46"/>
    <w:rsid w:val="00395430"/>
    <w:rsid w:val="0039552C"/>
    <w:rsid w:val="00397268"/>
    <w:rsid w:val="003A5DF0"/>
    <w:rsid w:val="003B01AF"/>
    <w:rsid w:val="003B2E86"/>
    <w:rsid w:val="003B6653"/>
    <w:rsid w:val="003C0403"/>
    <w:rsid w:val="003C4B48"/>
    <w:rsid w:val="003D0062"/>
    <w:rsid w:val="003D0A47"/>
    <w:rsid w:val="003E1C28"/>
    <w:rsid w:val="003F436B"/>
    <w:rsid w:val="003F7C71"/>
    <w:rsid w:val="00400ADC"/>
    <w:rsid w:val="00400B18"/>
    <w:rsid w:val="00403C68"/>
    <w:rsid w:val="004109D5"/>
    <w:rsid w:val="004254ED"/>
    <w:rsid w:val="00431820"/>
    <w:rsid w:val="00437ACC"/>
    <w:rsid w:val="00441C48"/>
    <w:rsid w:val="00443D65"/>
    <w:rsid w:val="00444861"/>
    <w:rsid w:val="00453708"/>
    <w:rsid w:val="00461FCB"/>
    <w:rsid w:val="00472FBD"/>
    <w:rsid w:val="004740E5"/>
    <w:rsid w:val="00474937"/>
    <w:rsid w:val="00476F5F"/>
    <w:rsid w:val="004775DF"/>
    <w:rsid w:val="00480DB4"/>
    <w:rsid w:val="00496EB7"/>
    <w:rsid w:val="004A3F81"/>
    <w:rsid w:val="004A7075"/>
    <w:rsid w:val="004B2164"/>
    <w:rsid w:val="004B6BED"/>
    <w:rsid w:val="004C466A"/>
    <w:rsid w:val="004C7E5E"/>
    <w:rsid w:val="004D7377"/>
    <w:rsid w:val="004E584F"/>
    <w:rsid w:val="004F2D35"/>
    <w:rsid w:val="004F7A2C"/>
    <w:rsid w:val="004F7D1C"/>
    <w:rsid w:val="005042A3"/>
    <w:rsid w:val="005069E8"/>
    <w:rsid w:val="00510E55"/>
    <w:rsid w:val="005120DA"/>
    <w:rsid w:val="00512CA0"/>
    <w:rsid w:val="00523B91"/>
    <w:rsid w:val="00524D18"/>
    <w:rsid w:val="005272D6"/>
    <w:rsid w:val="00534A6A"/>
    <w:rsid w:val="00535598"/>
    <w:rsid w:val="00537B47"/>
    <w:rsid w:val="00540710"/>
    <w:rsid w:val="00541BF8"/>
    <w:rsid w:val="00543192"/>
    <w:rsid w:val="0055407D"/>
    <w:rsid w:val="005638D2"/>
    <w:rsid w:val="0056397E"/>
    <w:rsid w:val="00567C6F"/>
    <w:rsid w:val="005734EA"/>
    <w:rsid w:val="005812C9"/>
    <w:rsid w:val="00582095"/>
    <w:rsid w:val="00586483"/>
    <w:rsid w:val="005A217D"/>
    <w:rsid w:val="005A4A73"/>
    <w:rsid w:val="005B5F93"/>
    <w:rsid w:val="005C11CB"/>
    <w:rsid w:val="005C2025"/>
    <w:rsid w:val="005C63DB"/>
    <w:rsid w:val="005C65CD"/>
    <w:rsid w:val="005F31A1"/>
    <w:rsid w:val="00602665"/>
    <w:rsid w:val="006027AC"/>
    <w:rsid w:val="00604814"/>
    <w:rsid w:val="00616C00"/>
    <w:rsid w:val="00617392"/>
    <w:rsid w:val="0062310D"/>
    <w:rsid w:val="0063243A"/>
    <w:rsid w:val="006331B0"/>
    <w:rsid w:val="0063535D"/>
    <w:rsid w:val="00641A84"/>
    <w:rsid w:val="00642AC9"/>
    <w:rsid w:val="00651506"/>
    <w:rsid w:val="006540D7"/>
    <w:rsid w:val="00662C71"/>
    <w:rsid w:val="0067606F"/>
    <w:rsid w:val="00680167"/>
    <w:rsid w:val="00680ABE"/>
    <w:rsid w:val="006845DA"/>
    <w:rsid w:val="00686A80"/>
    <w:rsid w:val="00686FCA"/>
    <w:rsid w:val="0069029C"/>
    <w:rsid w:val="00691195"/>
    <w:rsid w:val="0069418C"/>
    <w:rsid w:val="006949FD"/>
    <w:rsid w:val="006953CF"/>
    <w:rsid w:val="0069693F"/>
    <w:rsid w:val="006A6A92"/>
    <w:rsid w:val="006B0F7E"/>
    <w:rsid w:val="006B127C"/>
    <w:rsid w:val="006B6302"/>
    <w:rsid w:val="006B68A2"/>
    <w:rsid w:val="006D18DA"/>
    <w:rsid w:val="006D24D8"/>
    <w:rsid w:val="006D28C2"/>
    <w:rsid w:val="006F25A1"/>
    <w:rsid w:val="006F4022"/>
    <w:rsid w:val="006F66F9"/>
    <w:rsid w:val="00711AF1"/>
    <w:rsid w:val="00712DA5"/>
    <w:rsid w:val="00730E60"/>
    <w:rsid w:val="00737F7C"/>
    <w:rsid w:val="0074775E"/>
    <w:rsid w:val="00753CDA"/>
    <w:rsid w:val="0075708F"/>
    <w:rsid w:val="007630B1"/>
    <w:rsid w:val="0077198B"/>
    <w:rsid w:val="00780275"/>
    <w:rsid w:val="007821FA"/>
    <w:rsid w:val="00785463"/>
    <w:rsid w:val="007868B5"/>
    <w:rsid w:val="007A216B"/>
    <w:rsid w:val="007A3EF6"/>
    <w:rsid w:val="007B0BB6"/>
    <w:rsid w:val="007B49CB"/>
    <w:rsid w:val="007C15E1"/>
    <w:rsid w:val="007C307E"/>
    <w:rsid w:val="007C3208"/>
    <w:rsid w:val="007C54F5"/>
    <w:rsid w:val="007C6161"/>
    <w:rsid w:val="007C68BF"/>
    <w:rsid w:val="007C719B"/>
    <w:rsid w:val="007D13DC"/>
    <w:rsid w:val="007D5823"/>
    <w:rsid w:val="007E33DA"/>
    <w:rsid w:val="007E4716"/>
    <w:rsid w:val="007F1305"/>
    <w:rsid w:val="007F2E43"/>
    <w:rsid w:val="007F6B52"/>
    <w:rsid w:val="00801A15"/>
    <w:rsid w:val="008023BA"/>
    <w:rsid w:val="00844EC2"/>
    <w:rsid w:val="008475A5"/>
    <w:rsid w:val="00847F12"/>
    <w:rsid w:val="008509F6"/>
    <w:rsid w:val="00851A7A"/>
    <w:rsid w:val="00854459"/>
    <w:rsid w:val="00864DC1"/>
    <w:rsid w:val="00873A2B"/>
    <w:rsid w:val="0087674A"/>
    <w:rsid w:val="00880303"/>
    <w:rsid w:val="00886AD2"/>
    <w:rsid w:val="00890F6D"/>
    <w:rsid w:val="00892707"/>
    <w:rsid w:val="008939CB"/>
    <w:rsid w:val="008A28A7"/>
    <w:rsid w:val="008A2AFC"/>
    <w:rsid w:val="008A56FE"/>
    <w:rsid w:val="008A6B3E"/>
    <w:rsid w:val="008B74E1"/>
    <w:rsid w:val="008B7928"/>
    <w:rsid w:val="008C2A84"/>
    <w:rsid w:val="008D27A8"/>
    <w:rsid w:val="008D35C7"/>
    <w:rsid w:val="008E0F23"/>
    <w:rsid w:val="008F1CEE"/>
    <w:rsid w:val="008F4BD3"/>
    <w:rsid w:val="00911CE8"/>
    <w:rsid w:val="00914804"/>
    <w:rsid w:val="00923178"/>
    <w:rsid w:val="00924F7D"/>
    <w:rsid w:val="009322AA"/>
    <w:rsid w:val="00932FC4"/>
    <w:rsid w:val="00933096"/>
    <w:rsid w:val="0093462D"/>
    <w:rsid w:val="00935A49"/>
    <w:rsid w:val="009410A9"/>
    <w:rsid w:val="00945FF9"/>
    <w:rsid w:val="00955645"/>
    <w:rsid w:val="0096662A"/>
    <w:rsid w:val="00967B96"/>
    <w:rsid w:val="00971FCF"/>
    <w:rsid w:val="00974B01"/>
    <w:rsid w:val="009870C5"/>
    <w:rsid w:val="00990AE7"/>
    <w:rsid w:val="00991A19"/>
    <w:rsid w:val="0099491C"/>
    <w:rsid w:val="00994B1B"/>
    <w:rsid w:val="009A00BD"/>
    <w:rsid w:val="009A1511"/>
    <w:rsid w:val="009A35CD"/>
    <w:rsid w:val="009B3CC5"/>
    <w:rsid w:val="009B5B45"/>
    <w:rsid w:val="009B7C67"/>
    <w:rsid w:val="009B7F3D"/>
    <w:rsid w:val="009C2A81"/>
    <w:rsid w:val="009E164A"/>
    <w:rsid w:val="009E164D"/>
    <w:rsid w:val="009E57D0"/>
    <w:rsid w:val="009F1CC3"/>
    <w:rsid w:val="00A17D60"/>
    <w:rsid w:val="00A2399E"/>
    <w:rsid w:val="00A24210"/>
    <w:rsid w:val="00A2722F"/>
    <w:rsid w:val="00A400A4"/>
    <w:rsid w:val="00A43CDD"/>
    <w:rsid w:val="00A62A18"/>
    <w:rsid w:val="00A83170"/>
    <w:rsid w:val="00A855F8"/>
    <w:rsid w:val="00A95185"/>
    <w:rsid w:val="00AA3E87"/>
    <w:rsid w:val="00AA44AE"/>
    <w:rsid w:val="00AA7852"/>
    <w:rsid w:val="00AB10EF"/>
    <w:rsid w:val="00AB1B47"/>
    <w:rsid w:val="00AB7255"/>
    <w:rsid w:val="00AC0158"/>
    <w:rsid w:val="00AC4DED"/>
    <w:rsid w:val="00AD06B8"/>
    <w:rsid w:val="00AE0015"/>
    <w:rsid w:val="00AE4374"/>
    <w:rsid w:val="00AF0A22"/>
    <w:rsid w:val="00AF107D"/>
    <w:rsid w:val="00AF3BF8"/>
    <w:rsid w:val="00AF4FD9"/>
    <w:rsid w:val="00AF7376"/>
    <w:rsid w:val="00B011E9"/>
    <w:rsid w:val="00B0246C"/>
    <w:rsid w:val="00B044C4"/>
    <w:rsid w:val="00B06A5A"/>
    <w:rsid w:val="00B06EFD"/>
    <w:rsid w:val="00B0784E"/>
    <w:rsid w:val="00B14866"/>
    <w:rsid w:val="00B17DCB"/>
    <w:rsid w:val="00B32483"/>
    <w:rsid w:val="00B32D22"/>
    <w:rsid w:val="00B3491B"/>
    <w:rsid w:val="00B36A48"/>
    <w:rsid w:val="00B47583"/>
    <w:rsid w:val="00B50E54"/>
    <w:rsid w:val="00B54AA1"/>
    <w:rsid w:val="00B56618"/>
    <w:rsid w:val="00B62039"/>
    <w:rsid w:val="00B62498"/>
    <w:rsid w:val="00B624A5"/>
    <w:rsid w:val="00B65A4E"/>
    <w:rsid w:val="00B70F78"/>
    <w:rsid w:val="00B7181C"/>
    <w:rsid w:val="00B820F9"/>
    <w:rsid w:val="00B83B89"/>
    <w:rsid w:val="00B93360"/>
    <w:rsid w:val="00B93E3B"/>
    <w:rsid w:val="00B94974"/>
    <w:rsid w:val="00BB0DFD"/>
    <w:rsid w:val="00BB1425"/>
    <w:rsid w:val="00BB1F81"/>
    <w:rsid w:val="00BB4E35"/>
    <w:rsid w:val="00BD22E2"/>
    <w:rsid w:val="00BD6607"/>
    <w:rsid w:val="00BD6D3E"/>
    <w:rsid w:val="00BF2A7E"/>
    <w:rsid w:val="00BF575E"/>
    <w:rsid w:val="00BF6D15"/>
    <w:rsid w:val="00C0288E"/>
    <w:rsid w:val="00C04108"/>
    <w:rsid w:val="00C075A5"/>
    <w:rsid w:val="00C123C3"/>
    <w:rsid w:val="00C162D7"/>
    <w:rsid w:val="00C20C47"/>
    <w:rsid w:val="00C2255B"/>
    <w:rsid w:val="00C22F85"/>
    <w:rsid w:val="00C33369"/>
    <w:rsid w:val="00C50EE2"/>
    <w:rsid w:val="00C51185"/>
    <w:rsid w:val="00C52E62"/>
    <w:rsid w:val="00C8307F"/>
    <w:rsid w:val="00CA5354"/>
    <w:rsid w:val="00CC422E"/>
    <w:rsid w:val="00CD2C0D"/>
    <w:rsid w:val="00CE1588"/>
    <w:rsid w:val="00CE1F2B"/>
    <w:rsid w:val="00CE221C"/>
    <w:rsid w:val="00CF244C"/>
    <w:rsid w:val="00CF568B"/>
    <w:rsid w:val="00CF6943"/>
    <w:rsid w:val="00CF7348"/>
    <w:rsid w:val="00D00877"/>
    <w:rsid w:val="00D07DE6"/>
    <w:rsid w:val="00D22034"/>
    <w:rsid w:val="00D34C5E"/>
    <w:rsid w:val="00D35BEA"/>
    <w:rsid w:val="00D36829"/>
    <w:rsid w:val="00D54221"/>
    <w:rsid w:val="00D61356"/>
    <w:rsid w:val="00D7009F"/>
    <w:rsid w:val="00D74BAB"/>
    <w:rsid w:val="00D76A86"/>
    <w:rsid w:val="00D77BE8"/>
    <w:rsid w:val="00D80570"/>
    <w:rsid w:val="00D86038"/>
    <w:rsid w:val="00D92863"/>
    <w:rsid w:val="00D96A0F"/>
    <w:rsid w:val="00DA5944"/>
    <w:rsid w:val="00DA59DB"/>
    <w:rsid w:val="00DA707C"/>
    <w:rsid w:val="00DB6CC5"/>
    <w:rsid w:val="00DB7B11"/>
    <w:rsid w:val="00DD6EB7"/>
    <w:rsid w:val="00DF59AA"/>
    <w:rsid w:val="00E0470F"/>
    <w:rsid w:val="00E0687A"/>
    <w:rsid w:val="00E10675"/>
    <w:rsid w:val="00E1141E"/>
    <w:rsid w:val="00E20832"/>
    <w:rsid w:val="00E2188C"/>
    <w:rsid w:val="00E273DE"/>
    <w:rsid w:val="00E46132"/>
    <w:rsid w:val="00E56662"/>
    <w:rsid w:val="00E63FC9"/>
    <w:rsid w:val="00E67DD7"/>
    <w:rsid w:val="00E85EF6"/>
    <w:rsid w:val="00E871BD"/>
    <w:rsid w:val="00E915AE"/>
    <w:rsid w:val="00E91E84"/>
    <w:rsid w:val="00EA4FD3"/>
    <w:rsid w:val="00EB7C73"/>
    <w:rsid w:val="00EC2301"/>
    <w:rsid w:val="00ED255A"/>
    <w:rsid w:val="00ED63E0"/>
    <w:rsid w:val="00EE22A4"/>
    <w:rsid w:val="00EE3E8B"/>
    <w:rsid w:val="00EE5328"/>
    <w:rsid w:val="00EE7BFC"/>
    <w:rsid w:val="00EF409B"/>
    <w:rsid w:val="00F129BE"/>
    <w:rsid w:val="00F13FF1"/>
    <w:rsid w:val="00F31B1F"/>
    <w:rsid w:val="00F43EC6"/>
    <w:rsid w:val="00F4525E"/>
    <w:rsid w:val="00F45D0D"/>
    <w:rsid w:val="00F5000A"/>
    <w:rsid w:val="00F53944"/>
    <w:rsid w:val="00F56397"/>
    <w:rsid w:val="00F64BAF"/>
    <w:rsid w:val="00F64CA6"/>
    <w:rsid w:val="00F65768"/>
    <w:rsid w:val="00F707BA"/>
    <w:rsid w:val="00F728B1"/>
    <w:rsid w:val="00F7579C"/>
    <w:rsid w:val="00F849A7"/>
    <w:rsid w:val="00F920A7"/>
    <w:rsid w:val="00F92429"/>
    <w:rsid w:val="00F925E1"/>
    <w:rsid w:val="00F96E8C"/>
    <w:rsid w:val="00FA203E"/>
    <w:rsid w:val="00FA2C99"/>
    <w:rsid w:val="00FB51F5"/>
    <w:rsid w:val="00FC0AE7"/>
    <w:rsid w:val="00FC25D1"/>
    <w:rsid w:val="00FC33D5"/>
    <w:rsid w:val="00FC46F8"/>
    <w:rsid w:val="00FD7420"/>
    <w:rsid w:val="00FD786B"/>
    <w:rsid w:val="00FE3645"/>
    <w:rsid w:val="00FE396D"/>
    <w:rsid w:val="00FE5560"/>
    <w:rsid w:val="00FF50DF"/>
    <w:rsid w:val="00FF51EF"/>
    <w:rsid w:val="057D2925"/>
    <w:rsid w:val="0A295E61"/>
    <w:rsid w:val="1C877CA0"/>
    <w:rsid w:val="21A87875"/>
    <w:rsid w:val="29F65E2A"/>
    <w:rsid w:val="2C14052D"/>
    <w:rsid w:val="32557C26"/>
    <w:rsid w:val="360A09A8"/>
    <w:rsid w:val="3B990571"/>
    <w:rsid w:val="47525018"/>
    <w:rsid w:val="47D25CB6"/>
    <w:rsid w:val="48C3105A"/>
    <w:rsid w:val="4D3B0736"/>
    <w:rsid w:val="50B67640"/>
    <w:rsid w:val="56C37235"/>
    <w:rsid w:val="59EB6360"/>
    <w:rsid w:val="637D678C"/>
    <w:rsid w:val="63F45B77"/>
    <w:rsid w:val="657B7EA1"/>
    <w:rsid w:val="760E7054"/>
    <w:rsid w:val="7937155D"/>
    <w:rsid w:val="7FE7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2">
    <w:name w:val="Body Text Indent 2"/>
    <w:basedOn w:val="a"/>
    <w:link w:val="2Char"/>
    <w:unhideWhenUsed/>
    <w:qFormat/>
    <w:pPr>
      <w:spacing w:line="400" w:lineRule="exact"/>
      <w:ind w:left="1800" w:hanging="180"/>
    </w:pPr>
    <w:rPr>
      <w:rFonts w:eastAsia="宋体"/>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qFormat/>
    <w:rPr>
      <w:rFonts w:eastAsia="宋体"/>
      <w:sz w:val="24"/>
    </w:rPr>
  </w:style>
  <w:style w:type="paragraph" w:styleId="a8">
    <w:name w:val="annotation subject"/>
    <w:basedOn w:val="a3"/>
    <w:next w:val="a3"/>
    <w:link w:val="Char3"/>
    <w:uiPriority w:val="99"/>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uiPriority w:val="99"/>
    <w:unhideWhenUsed/>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qFormat/>
    <w:rPr>
      <w:rFonts w:ascii="Times New Roman" w:eastAsia="仿宋_GB2312" w:hAnsi="Times New Roman"/>
      <w:kern w:val="2"/>
      <w:sz w:val="28"/>
      <w:szCs w:val="24"/>
    </w:rPr>
  </w:style>
  <w:style w:type="character" w:customStyle="1" w:styleId="Char3">
    <w:name w:val="批注主题 Char"/>
    <w:link w:val="a8"/>
    <w:uiPriority w:val="99"/>
    <w:semiHidden/>
    <w:qFormat/>
    <w:rPr>
      <w:rFonts w:ascii="Times New Roman" w:eastAsia="仿宋_GB2312" w:hAnsi="Times New Roman"/>
      <w:b/>
      <w:bCs/>
      <w:kern w:val="2"/>
      <w:sz w:val="28"/>
      <w:szCs w:val="24"/>
    </w:rPr>
  </w:style>
  <w:style w:type="character" w:customStyle="1" w:styleId="Char0">
    <w:name w:val="批注框文本 Char"/>
    <w:link w:val="a4"/>
    <w:uiPriority w:val="99"/>
    <w:semiHidden/>
    <w:qFormat/>
    <w:rPr>
      <w:rFonts w:ascii="Times New Roman" w:eastAsia="仿宋_GB2312" w:hAnsi="Times New Roman"/>
      <w:kern w:val="2"/>
      <w:sz w:val="18"/>
      <w:szCs w:val="18"/>
    </w:rPr>
  </w:style>
  <w:style w:type="character" w:customStyle="1" w:styleId="2Char">
    <w:name w:val="正文文本缩进 2 Char"/>
    <w:link w:val="2"/>
    <w:semiHidden/>
    <w:qFormat/>
    <w:rPr>
      <w:rFonts w:ascii="Times New Roman" w:hAnsi="Times New Roman"/>
      <w:kern w:val="2"/>
      <w:sz w:val="24"/>
    </w:rPr>
  </w:style>
  <w:style w:type="character" w:customStyle="1" w:styleId="Char2">
    <w:name w:val="页眉 Char"/>
    <w:link w:val="a6"/>
    <w:uiPriority w:val="99"/>
    <w:qFormat/>
    <w:rPr>
      <w:rFonts w:ascii="Times New Roman" w:eastAsia="仿宋_GB2312" w:hAnsi="Times New Roman"/>
      <w:kern w:val="2"/>
      <w:sz w:val="18"/>
      <w:szCs w:val="18"/>
    </w:rPr>
  </w:style>
  <w:style w:type="character" w:customStyle="1" w:styleId="Char1">
    <w:name w:val="页脚 Char"/>
    <w:link w:val="a5"/>
    <w:uiPriority w:val="99"/>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2">
    <w:name w:val="Body Text Indent 2"/>
    <w:basedOn w:val="a"/>
    <w:link w:val="2Char"/>
    <w:unhideWhenUsed/>
    <w:qFormat/>
    <w:pPr>
      <w:spacing w:line="400" w:lineRule="exact"/>
      <w:ind w:left="1800" w:hanging="180"/>
    </w:pPr>
    <w:rPr>
      <w:rFonts w:eastAsia="宋体"/>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qFormat/>
    <w:rPr>
      <w:rFonts w:eastAsia="宋体"/>
      <w:sz w:val="24"/>
    </w:rPr>
  </w:style>
  <w:style w:type="paragraph" w:styleId="a8">
    <w:name w:val="annotation subject"/>
    <w:basedOn w:val="a3"/>
    <w:next w:val="a3"/>
    <w:link w:val="Char3"/>
    <w:uiPriority w:val="99"/>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uiPriority w:val="99"/>
    <w:unhideWhenUsed/>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qFormat/>
    <w:rPr>
      <w:rFonts w:ascii="Times New Roman" w:eastAsia="仿宋_GB2312" w:hAnsi="Times New Roman"/>
      <w:kern w:val="2"/>
      <w:sz w:val="28"/>
      <w:szCs w:val="24"/>
    </w:rPr>
  </w:style>
  <w:style w:type="character" w:customStyle="1" w:styleId="Char3">
    <w:name w:val="批注主题 Char"/>
    <w:link w:val="a8"/>
    <w:uiPriority w:val="99"/>
    <w:semiHidden/>
    <w:qFormat/>
    <w:rPr>
      <w:rFonts w:ascii="Times New Roman" w:eastAsia="仿宋_GB2312" w:hAnsi="Times New Roman"/>
      <w:b/>
      <w:bCs/>
      <w:kern w:val="2"/>
      <w:sz w:val="28"/>
      <w:szCs w:val="24"/>
    </w:rPr>
  </w:style>
  <w:style w:type="character" w:customStyle="1" w:styleId="Char0">
    <w:name w:val="批注框文本 Char"/>
    <w:link w:val="a4"/>
    <w:uiPriority w:val="99"/>
    <w:semiHidden/>
    <w:qFormat/>
    <w:rPr>
      <w:rFonts w:ascii="Times New Roman" w:eastAsia="仿宋_GB2312" w:hAnsi="Times New Roman"/>
      <w:kern w:val="2"/>
      <w:sz w:val="18"/>
      <w:szCs w:val="18"/>
    </w:rPr>
  </w:style>
  <w:style w:type="character" w:customStyle="1" w:styleId="2Char">
    <w:name w:val="正文文本缩进 2 Char"/>
    <w:link w:val="2"/>
    <w:semiHidden/>
    <w:qFormat/>
    <w:rPr>
      <w:rFonts w:ascii="Times New Roman" w:hAnsi="Times New Roman"/>
      <w:kern w:val="2"/>
      <w:sz w:val="24"/>
    </w:rPr>
  </w:style>
  <w:style w:type="character" w:customStyle="1" w:styleId="Char2">
    <w:name w:val="页眉 Char"/>
    <w:link w:val="a6"/>
    <w:uiPriority w:val="99"/>
    <w:qFormat/>
    <w:rPr>
      <w:rFonts w:ascii="Times New Roman" w:eastAsia="仿宋_GB2312" w:hAnsi="Times New Roman"/>
      <w:kern w:val="2"/>
      <w:sz w:val="18"/>
      <w:szCs w:val="18"/>
    </w:rPr>
  </w:style>
  <w:style w:type="character" w:customStyle="1" w:styleId="Char1">
    <w:name w:val="页脚 Char"/>
    <w:link w:val="a5"/>
    <w:uiPriority w:val="99"/>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lawandrules/sselawsrules/stock/main/listing/a/20220107/a50104ba26bac2964a544df0d0b941b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372</Words>
  <Characters>2122</Characters>
  <Application>Microsoft Office Word</Application>
  <DocSecurity>0</DocSecurity>
  <Lines>17</Lines>
  <Paragraphs>4</Paragraphs>
  <ScaleCrop>false</ScaleCrop>
  <Company>复旦大学</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X201</cp:lastModifiedBy>
  <cp:revision>10</cp:revision>
  <cp:lastPrinted>2022-03-23T09:24:00Z</cp:lastPrinted>
  <dcterms:created xsi:type="dcterms:W3CDTF">2022-03-23T05:07:00Z</dcterms:created>
  <dcterms:modified xsi:type="dcterms:W3CDTF">2022-03-24T09:00:00Z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