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DF" w:rsidRDefault="005D1D5E">
      <w:pPr>
        <w:tabs>
          <w:tab w:val="left" w:pos="4111"/>
        </w:tabs>
        <w:spacing w:line="460" w:lineRule="exact"/>
        <w:rPr>
          <w:rFonts w:ascii="宋体" w:hAnsi="宋体"/>
          <w:b/>
          <w:szCs w:val="21"/>
        </w:rPr>
      </w:pPr>
      <w:r>
        <w:rPr>
          <w:rFonts w:ascii="宋体" w:hAnsi="宋体" w:hint="eastAsia"/>
          <w:b/>
          <w:szCs w:val="21"/>
        </w:rPr>
        <w:t>公告编号：临2022-0</w:t>
      </w:r>
      <w:r w:rsidR="00AE6280">
        <w:rPr>
          <w:rFonts w:ascii="宋体" w:hAnsi="宋体" w:hint="eastAsia"/>
          <w:b/>
          <w:szCs w:val="21"/>
        </w:rPr>
        <w:t>49</w:t>
      </w:r>
    </w:p>
    <w:p w:rsidR="00A908DF" w:rsidRDefault="005D1D5E">
      <w:pPr>
        <w:spacing w:line="460" w:lineRule="exact"/>
        <w:rPr>
          <w:rFonts w:ascii="宋体" w:hAnsi="宋体"/>
          <w:b/>
          <w:szCs w:val="21"/>
        </w:rPr>
      </w:pPr>
      <w:r>
        <w:rPr>
          <w:rFonts w:ascii="宋体" w:hAnsi="宋体" w:hint="eastAsia"/>
          <w:b/>
          <w:szCs w:val="21"/>
        </w:rPr>
        <w:t xml:space="preserve">A股代码： 601166             </w:t>
      </w:r>
      <w:r>
        <w:rPr>
          <w:rFonts w:ascii="宋体" w:hAnsi="宋体"/>
          <w:b/>
          <w:szCs w:val="21"/>
        </w:rPr>
        <w:t xml:space="preserve"> </w:t>
      </w:r>
      <w:r>
        <w:rPr>
          <w:rFonts w:ascii="宋体" w:hAnsi="宋体" w:hint="eastAsia"/>
          <w:b/>
          <w:szCs w:val="21"/>
        </w:rPr>
        <w:t xml:space="preserve">         A股简称：兴业银行        </w:t>
      </w:r>
      <w:r>
        <w:rPr>
          <w:rFonts w:ascii="宋体" w:hAnsi="宋体"/>
          <w:b/>
          <w:szCs w:val="21"/>
        </w:rPr>
        <w:t xml:space="preserve"> </w:t>
      </w:r>
      <w:r>
        <w:rPr>
          <w:rFonts w:ascii="宋体" w:hAnsi="宋体" w:hint="eastAsia"/>
          <w:b/>
          <w:szCs w:val="21"/>
        </w:rPr>
        <w:t xml:space="preserve"> </w:t>
      </w:r>
      <w:r>
        <w:rPr>
          <w:rFonts w:ascii="宋体" w:hAnsi="宋体"/>
          <w:b/>
          <w:szCs w:val="21"/>
        </w:rPr>
        <w:t xml:space="preserve">  </w:t>
      </w:r>
      <w:r>
        <w:rPr>
          <w:rFonts w:ascii="宋体" w:hAnsi="宋体" w:hint="eastAsia"/>
          <w:b/>
          <w:szCs w:val="21"/>
        </w:rPr>
        <w:t xml:space="preserve"> </w:t>
      </w:r>
    </w:p>
    <w:p w:rsidR="00A908DF" w:rsidRDefault="005D1D5E">
      <w:pPr>
        <w:spacing w:line="460" w:lineRule="exact"/>
        <w:jc w:val="left"/>
        <w:rPr>
          <w:rFonts w:ascii="宋体" w:hAnsi="宋体"/>
          <w:b/>
          <w:szCs w:val="21"/>
        </w:rPr>
      </w:pPr>
      <w:r>
        <w:rPr>
          <w:rFonts w:ascii="宋体" w:hAnsi="宋体" w:hint="eastAsia"/>
          <w:b/>
          <w:szCs w:val="21"/>
        </w:rPr>
        <w:t>优先股代码：360005、360012、360032     优先股简称：兴业优1、兴业优2、兴业优3</w:t>
      </w:r>
    </w:p>
    <w:p w:rsidR="00A908DF" w:rsidRDefault="005D1D5E">
      <w:pPr>
        <w:spacing w:line="460" w:lineRule="exact"/>
        <w:jc w:val="left"/>
        <w:rPr>
          <w:rFonts w:ascii="宋体" w:hAnsi="宋体"/>
          <w:b/>
          <w:szCs w:val="21"/>
        </w:rPr>
      </w:pPr>
      <w:r>
        <w:rPr>
          <w:rFonts w:ascii="宋体" w:hAnsi="宋体" w:hint="eastAsia"/>
          <w:b/>
          <w:szCs w:val="21"/>
        </w:rPr>
        <w:t>可转债代码：113052                     可转债简称：兴业转债</w:t>
      </w:r>
    </w:p>
    <w:p w:rsidR="00A908DF" w:rsidRDefault="00A908DF">
      <w:pPr>
        <w:jc w:val="left"/>
        <w:rPr>
          <w:rFonts w:ascii="宋体" w:hAnsi="宋体"/>
          <w:b/>
          <w:szCs w:val="21"/>
        </w:rPr>
      </w:pPr>
    </w:p>
    <w:p w:rsidR="00A908DF" w:rsidRDefault="005D1D5E">
      <w:pPr>
        <w:spacing w:line="540" w:lineRule="exact"/>
        <w:jc w:val="center"/>
        <w:rPr>
          <w:rFonts w:ascii="黑体" w:eastAsia="黑体"/>
          <w:color w:val="FF0000"/>
          <w:sz w:val="36"/>
          <w:szCs w:val="36"/>
        </w:rPr>
      </w:pPr>
      <w:r>
        <w:rPr>
          <w:rFonts w:ascii="黑体" w:eastAsia="黑体" w:hint="eastAsia"/>
          <w:color w:val="FF0000"/>
          <w:sz w:val="36"/>
          <w:szCs w:val="36"/>
        </w:rPr>
        <w:t>兴业银行股份有限公司</w:t>
      </w:r>
    </w:p>
    <w:p w:rsidR="00A908DF" w:rsidRDefault="005D1D5E">
      <w:pPr>
        <w:spacing w:line="540" w:lineRule="exact"/>
        <w:jc w:val="center"/>
        <w:rPr>
          <w:rFonts w:ascii="宋体" w:hAnsi="宋体"/>
          <w:sz w:val="24"/>
        </w:rPr>
      </w:pPr>
      <w:r>
        <w:rPr>
          <w:rFonts w:ascii="黑体" w:eastAsia="黑体" w:hint="eastAsia"/>
          <w:color w:val="FF0000"/>
          <w:sz w:val="36"/>
          <w:szCs w:val="36"/>
        </w:rPr>
        <w:t>关于</w:t>
      </w:r>
      <w:r w:rsidR="00514045">
        <w:rPr>
          <w:rFonts w:ascii="黑体" w:eastAsia="黑体" w:hint="eastAsia"/>
          <w:color w:val="FF0000"/>
          <w:sz w:val="36"/>
          <w:szCs w:val="36"/>
        </w:rPr>
        <w:t>股东</w:t>
      </w:r>
      <w:r w:rsidR="00946B6E">
        <w:rPr>
          <w:rFonts w:ascii="黑体" w:eastAsia="黑体" w:hint="eastAsia"/>
          <w:color w:val="FF0000"/>
          <w:sz w:val="36"/>
          <w:szCs w:val="36"/>
        </w:rPr>
        <w:t>股份划转</w:t>
      </w:r>
      <w:r w:rsidR="00514045">
        <w:rPr>
          <w:rFonts w:ascii="黑体" w:eastAsia="黑体" w:hint="eastAsia"/>
          <w:color w:val="FF0000"/>
          <w:sz w:val="36"/>
          <w:szCs w:val="36"/>
        </w:rPr>
        <w:t>获中国银保监会批准的</w:t>
      </w:r>
      <w:r>
        <w:rPr>
          <w:rFonts w:ascii="黑体" w:eastAsia="黑体" w:hint="eastAsia"/>
          <w:color w:val="FF0000"/>
          <w:sz w:val="36"/>
          <w:szCs w:val="36"/>
        </w:rPr>
        <w:t>公告</w:t>
      </w:r>
    </w:p>
    <w:p w:rsidR="00A908DF" w:rsidRDefault="00A908DF">
      <w:pPr>
        <w:spacing w:line="360" w:lineRule="auto"/>
        <w:ind w:firstLineChars="200" w:firstLine="480"/>
        <w:rPr>
          <w:rFonts w:ascii="宋体" w:hAnsi="宋体"/>
          <w:sz w:val="24"/>
        </w:rPr>
      </w:pPr>
    </w:p>
    <w:p w:rsidR="00A908DF" w:rsidRDefault="005D1D5E">
      <w:pPr>
        <w:spacing w:line="500" w:lineRule="exact"/>
        <w:ind w:firstLineChars="200" w:firstLine="480"/>
        <w:rPr>
          <w:rFonts w:ascii="宋体" w:hAnsi="宋体"/>
          <w:sz w:val="24"/>
          <w:szCs w:val="24"/>
        </w:rPr>
      </w:pPr>
      <w:r>
        <w:rPr>
          <w:rFonts w:ascii="宋体" w:hAnsi="宋体" w:hint="eastAsia"/>
          <w:sz w:val="24"/>
          <w:szCs w:val="24"/>
        </w:rPr>
        <w:t>本公司董事会及全体董事保证本公告内容不存在任何虚假记载、误导性陈述或者重大遗漏，并对其内容的真实性、准确性和完整性承担个别及连带责任。</w:t>
      </w:r>
    </w:p>
    <w:p w:rsidR="00A908DF" w:rsidRDefault="00A908DF">
      <w:pPr>
        <w:spacing w:line="500" w:lineRule="exact"/>
        <w:ind w:firstLine="573"/>
        <w:rPr>
          <w:rFonts w:ascii="宋体" w:hAnsi="宋体"/>
          <w:sz w:val="24"/>
          <w:szCs w:val="24"/>
        </w:rPr>
      </w:pPr>
    </w:p>
    <w:p w:rsidR="002E047E" w:rsidRDefault="005D1D5E" w:rsidP="00514045">
      <w:pPr>
        <w:spacing w:line="500" w:lineRule="exact"/>
        <w:ind w:firstLineChars="200" w:firstLine="480"/>
        <w:rPr>
          <w:rFonts w:ascii="宋体" w:hAnsi="宋体" w:hint="eastAsia"/>
          <w:sz w:val="24"/>
          <w:szCs w:val="24"/>
        </w:rPr>
      </w:pPr>
      <w:r>
        <w:rPr>
          <w:rFonts w:ascii="宋体" w:hAnsi="宋体" w:hint="eastAsia"/>
          <w:sz w:val="24"/>
          <w:szCs w:val="24"/>
        </w:rPr>
        <w:t>兴业银行股份有限公司（以下简称本公司）</w:t>
      </w:r>
      <w:r w:rsidR="00AE6280">
        <w:rPr>
          <w:rFonts w:ascii="宋体" w:hAnsi="宋体" w:hint="eastAsia"/>
          <w:sz w:val="24"/>
          <w:szCs w:val="24"/>
        </w:rPr>
        <w:t>近</w:t>
      </w:r>
      <w:r>
        <w:rPr>
          <w:rFonts w:ascii="宋体" w:hAnsi="宋体" w:hint="eastAsia"/>
          <w:sz w:val="24"/>
          <w:szCs w:val="24"/>
        </w:rPr>
        <w:t>日收到</w:t>
      </w:r>
      <w:r w:rsidR="00AE6280">
        <w:rPr>
          <w:rFonts w:ascii="宋体" w:hAnsi="宋体" w:hint="eastAsia"/>
          <w:sz w:val="24"/>
          <w:szCs w:val="24"/>
        </w:rPr>
        <w:t>《中国银保监会关于兴业银行有关股东资格的批复》（银</w:t>
      </w:r>
      <w:proofErr w:type="gramStart"/>
      <w:r w:rsidR="00AE6280">
        <w:rPr>
          <w:rFonts w:ascii="宋体" w:hAnsi="宋体" w:hint="eastAsia"/>
          <w:sz w:val="24"/>
          <w:szCs w:val="24"/>
        </w:rPr>
        <w:t>保监复〔2022〕</w:t>
      </w:r>
      <w:proofErr w:type="gramEnd"/>
      <w:r w:rsidR="00AE6280">
        <w:rPr>
          <w:rFonts w:ascii="宋体" w:hAnsi="宋体" w:hint="eastAsia"/>
          <w:sz w:val="24"/>
          <w:szCs w:val="24"/>
        </w:rPr>
        <w:t>549号），</w:t>
      </w:r>
      <w:r w:rsidR="00514045">
        <w:rPr>
          <w:rFonts w:ascii="宋体" w:hAnsi="宋体" w:hint="eastAsia"/>
          <w:sz w:val="24"/>
          <w:szCs w:val="24"/>
        </w:rPr>
        <w:t>中国银保监会</w:t>
      </w:r>
      <w:r w:rsidR="00AE6280">
        <w:rPr>
          <w:rFonts w:ascii="宋体" w:hAnsi="宋体" w:hint="eastAsia"/>
          <w:sz w:val="24"/>
          <w:szCs w:val="24"/>
        </w:rPr>
        <w:t>同意</w:t>
      </w:r>
      <w:r>
        <w:rPr>
          <w:rFonts w:asciiTheme="minorEastAsia" w:hAnsiTheme="minorEastAsia" w:cs="宋体" w:hint="eastAsia"/>
          <w:kern w:val="0"/>
          <w:sz w:val="24"/>
          <w:szCs w:val="24"/>
        </w:rPr>
        <w:t>福建省财政厅</w:t>
      </w:r>
      <w:r w:rsidR="00AE6280">
        <w:rPr>
          <w:rFonts w:asciiTheme="minorEastAsia" w:hAnsiTheme="minorEastAsia" w:cs="宋体" w:hint="eastAsia"/>
          <w:kern w:val="0"/>
          <w:sz w:val="24"/>
          <w:szCs w:val="24"/>
        </w:rPr>
        <w:t>将其</w:t>
      </w:r>
      <w:r>
        <w:rPr>
          <w:rFonts w:ascii="宋体" w:hAnsi="宋体" w:hint="eastAsia"/>
          <w:sz w:val="24"/>
          <w:szCs w:val="24"/>
        </w:rPr>
        <w:t>普通账户持有</w:t>
      </w:r>
      <w:r w:rsidR="00AE6280">
        <w:rPr>
          <w:rFonts w:ascii="宋体" w:hAnsi="宋体" w:hint="eastAsia"/>
          <w:sz w:val="24"/>
          <w:szCs w:val="24"/>
        </w:rPr>
        <w:t>的本公司</w:t>
      </w:r>
      <w:r>
        <w:rPr>
          <w:rFonts w:ascii="宋体" w:hAnsi="宋体" w:hint="eastAsia"/>
          <w:sz w:val="24"/>
          <w:szCs w:val="24"/>
        </w:rPr>
        <w:t>3,511,918,625股</w:t>
      </w:r>
      <w:r w:rsidR="00AE6280">
        <w:rPr>
          <w:rFonts w:ascii="宋体" w:hAnsi="宋体" w:hint="eastAsia"/>
          <w:sz w:val="24"/>
          <w:szCs w:val="24"/>
        </w:rPr>
        <w:t>股份</w:t>
      </w:r>
      <w:r>
        <w:rPr>
          <w:rFonts w:ascii="宋体" w:hAnsi="宋体" w:hint="eastAsia"/>
          <w:sz w:val="24"/>
          <w:szCs w:val="24"/>
        </w:rPr>
        <w:t>划转至</w:t>
      </w:r>
      <w:r w:rsidR="00514045" w:rsidRPr="00514045">
        <w:rPr>
          <w:rFonts w:ascii="宋体" w:hAnsi="宋体" w:hint="eastAsia"/>
          <w:sz w:val="24"/>
          <w:szCs w:val="24"/>
        </w:rPr>
        <w:t>福建省金融投资有限责任公司</w:t>
      </w:r>
      <w:r w:rsidR="00514045">
        <w:rPr>
          <w:rFonts w:asciiTheme="minorEastAsia" w:hAnsiTheme="minorEastAsia" w:cs="宋体" w:hint="eastAsia"/>
          <w:kern w:val="0"/>
          <w:sz w:val="24"/>
          <w:szCs w:val="24"/>
        </w:rPr>
        <w:t>（以下简称福建金投）</w:t>
      </w:r>
      <w:r w:rsidR="00514045">
        <w:rPr>
          <w:rFonts w:ascii="宋体" w:hAnsi="宋体" w:hint="eastAsia"/>
          <w:sz w:val="24"/>
          <w:szCs w:val="24"/>
        </w:rPr>
        <w:t>。</w:t>
      </w:r>
    </w:p>
    <w:p w:rsidR="00A908DF" w:rsidRPr="002E047E" w:rsidRDefault="00514045" w:rsidP="002E047E">
      <w:pPr>
        <w:spacing w:line="500" w:lineRule="exact"/>
        <w:ind w:firstLineChars="200" w:firstLine="480"/>
        <w:rPr>
          <w:rFonts w:ascii="宋体" w:hAnsi="宋体"/>
          <w:bCs/>
          <w:sz w:val="24"/>
          <w:szCs w:val="24"/>
        </w:rPr>
      </w:pPr>
      <w:r>
        <w:rPr>
          <w:rFonts w:asciiTheme="minorEastAsia" w:hAnsiTheme="minorEastAsia" w:cs="宋体" w:hint="eastAsia"/>
          <w:kern w:val="0"/>
          <w:sz w:val="24"/>
          <w:szCs w:val="24"/>
        </w:rPr>
        <w:t>划转完成后，</w:t>
      </w:r>
      <w:r>
        <w:rPr>
          <w:rFonts w:asciiTheme="minorEastAsia" w:hAnsiTheme="minorEastAsia" w:hint="eastAsia"/>
          <w:sz w:val="24"/>
          <w:szCs w:val="24"/>
        </w:rPr>
        <w:t>福建</w:t>
      </w:r>
      <w:proofErr w:type="gramStart"/>
      <w:r>
        <w:rPr>
          <w:rFonts w:asciiTheme="minorEastAsia" w:hAnsiTheme="minorEastAsia" w:hint="eastAsia"/>
          <w:sz w:val="24"/>
          <w:szCs w:val="24"/>
        </w:rPr>
        <w:t>金投将</w:t>
      </w:r>
      <w:proofErr w:type="gramEnd"/>
      <w:r>
        <w:rPr>
          <w:rFonts w:asciiTheme="minorEastAsia" w:hAnsiTheme="minorEastAsia" w:hint="eastAsia"/>
          <w:sz w:val="24"/>
          <w:szCs w:val="24"/>
        </w:rPr>
        <w:t>持有</w:t>
      </w:r>
      <w:r>
        <w:rPr>
          <w:rFonts w:asciiTheme="minorEastAsia" w:hAnsiTheme="minorEastAsia" w:cs="宋体" w:hint="eastAsia"/>
          <w:kern w:val="0"/>
          <w:sz w:val="24"/>
          <w:szCs w:val="24"/>
        </w:rPr>
        <w:t>本公司普通股股份3,511,918,625股，占</w:t>
      </w:r>
      <w:r w:rsidR="006115EF" w:rsidRPr="002D46EE">
        <w:rPr>
          <w:rFonts w:ascii="宋体" w:hAnsi="宋体"/>
          <w:bCs/>
          <w:sz w:val="24"/>
          <w:szCs w:val="24"/>
        </w:rPr>
        <w:t>本</w:t>
      </w:r>
      <w:r w:rsidR="006115EF" w:rsidRPr="002D46EE">
        <w:rPr>
          <w:rFonts w:ascii="宋体" w:hAnsi="宋体" w:hint="eastAsia"/>
          <w:bCs/>
          <w:sz w:val="24"/>
          <w:szCs w:val="24"/>
        </w:rPr>
        <w:t>公司</w:t>
      </w:r>
      <w:r w:rsidR="00344801">
        <w:rPr>
          <w:rFonts w:asciiTheme="minorEastAsia" w:hAnsiTheme="minorEastAsia" w:cs="宋体" w:hint="eastAsia"/>
          <w:kern w:val="0"/>
          <w:sz w:val="24"/>
          <w:szCs w:val="24"/>
        </w:rPr>
        <w:t>2022年8月24日</w:t>
      </w:r>
      <w:r w:rsidR="00344801" w:rsidRPr="002D46EE">
        <w:rPr>
          <w:rFonts w:ascii="宋体" w:hAnsi="宋体" w:hint="eastAsia"/>
          <w:bCs/>
          <w:sz w:val="24"/>
          <w:szCs w:val="24"/>
        </w:rPr>
        <w:t>总股本</w:t>
      </w:r>
      <w:r w:rsidR="00344801">
        <w:rPr>
          <w:rFonts w:ascii="宋体" w:hAnsi="宋体" w:hint="eastAsia"/>
          <w:bCs/>
          <w:sz w:val="24"/>
          <w:szCs w:val="24"/>
        </w:rPr>
        <w:t>（</w:t>
      </w:r>
      <w:r w:rsidR="00344801" w:rsidRPr="00946B6E">
        <w:rPr>
          <w:rFonts w:asciiTheme="minorEastAsia" w:hAnsiTheme="minorEastAsia" w:cs="宋体"/>
          <w:kern w:val="0"/>
          <w:sz w:val="24"/>
          <w:szCs w:val="24"/>
        </w:rPr>
        <w:t>20,774,240,963</w:t>
      </w:r>
      <w:r w:rsidR="00344801">
        <w:rPr>
          <w:rFonts w:asciiTheme="minorEastAsia" w:hAnsiTheme="minorEastAsia" w:cs="宋体"/>
          <w:kern w:val="0"/>
          <w:sz w:val="24"/>
          <w:szCs w:val="24"/>
        </w:rPr>
        <w:t>股</w:t>
      </w:r>
      <w:r w:rsidR="00344801">
        <w:rPr>
          <w:rFonts w:ascii="宋体" w:hAnsi="宋体" w:hint="eastAsia"/>
          <w:bCs/>
          <w:sz w:val="24"/>
          <w:szCs w:val="24"/>
        </w:rPr>
        <w:t>）的</w:t>
      </w:r>
      <w:r w:rsidR="00967C03">
        <w:rPr>
          <w:rFonts w:asciiTheme="minorEastAsia" w:hAnsiTheme="minorEastAsia" w:cs="宋体" w:hint="eastAsia"/>
          <w:kern w:val="0"/>
          <w:sz w:val="24"/>
          <w:szCs w:val="24"/>
        </w:rPr>
        <w:t>16.905</w:t>
      </w:r>
      <w:r w:rsidRPr="008C43C9">
        <w:rPr>
          <w:rFonts w:asciiTheme="minorEastAsia" w:hAnsiTheme="minorEastAsia" w:cs="宋体" w:hint="eastAsia"/>
          <w:kern w:val="0"/>
          <w:sz w:val="24"/>
          <w:szCs w:val="24"/>
        </w:rPr>
        <w:t>%</w:t>
      </w:r>
      <w:r>
        <w:rPr>
          <w:rFonts w:asciiTheme="minorEastAsia" w:hAnsiTheme="minorEastAsia" w:cs="宋体" w:hint="eastAsia"/>
          <w:kern w:val="0"/>
          <w:sz w:val="24"/>
          <w:szCs w:val="24"/>
        </w:rPr>
        <w:t>；</w:t>
      </w:r>
      <w:r w:rsidR="008C43C9" w:rsidRPr="002D46EE">
        <w:rPr>
          <w:rFonts w:ascii="宋体" w:hAnsi="宋体" w:hint="eastAsia"/>
          <w:bCs/>
          <w:sz w:val="24"/>
          <w:szCs w:val="24"/>
        </w:rPr>
        <w:t>福建省财政厅持有本公司</w:t>
      </w:r>
      <w:r w:rsidR="00967C03">
        <w:rPr>
          <w:rFonts w:asciiTheme="minorEastAsia" w:hAnsiTheme="minorEastAsia" w:cs="宋体" w:hint="eastAsia"/>
          <w:kern w:val="0"/>
          <w:sz w:val="24"/>
          <w:szCs w:val="24"/>
        </w:rPr>
        <w:t>普通股</w:t>
      </w:r>
      <w:r w:rsidR="008C43C9" w:rsidRPr="002D46EE">
        <w:rPr>
          <w:rFonts w:ascii="宋体" w:hAnsi="宋体" w:hint="eastAsia"/>
          <w:bCs/>
          <w:sz w:val="24"/>
          <w:szCs w:val="24"/>
        </w:rPr>
        <w:t>股份</w:t>
      </w:r>
      <w:r w:rsidR="008C43C9">
        <w:rPr>
          <w:rFonts w:ascii="宋体" w:hAnsi="宋体" w:hint="eastAsia"/>
          <w:bCs/>
          <w:sz w:val="24"/>
          <w:szCs w:val="24"/>
        </w:rPr>
        <w:t>414</w:t>
      </w:r>
      <w:r w:rsidR="008C43C9">
        <w:rPr>
          <w:rFonts w:asciiTheme="minorEastAsia" w:hAnsiTheme="minorEastAsia" w:cs="宋体" w:hint="eastAsia"/>
          <w:kern w:val="0"/>
          <w:sz w:val="24"/>
          <w:szCs w:val="24"/>
        </w:rPr>
        <w:t>,</w:t>
      </w:r>
      <w:r w:rsidR="008C43C9">
        <w:rPr>
          <w:rFonts w:ascii="宋体" w:hAnsi="宋体" w:hint="eastAsia"/>
          <w:bCs/>
          <w:sz w:val="24"/>
          <w:szCs w:val="24"/>
        </w:rPr>
        <w:t>462</w:t>
      </w:r>
      <w:r w:rsidR="008C43C9">
        <w:rPr>
          <w:rFonts w:asciiTheme="minorEastAsia" w:hAnsiTheme="minorEastAsia" w:cs="宋体" w:hint="eastAsia"/>
          <w:kern w:val="0"/>
          <w:sz w:val="24"/>
          <w:szCs w:val="24"/>
        </w:rPr>
        <w:t>,</w:t>
      </w:r>
      <w:r w:rsidR="008C43C9">
        <w:rPr>
          <w:rFonts w:ascii="宋体" w:hAnsi="宋体" w:hint="eastAsia"/>
          <w:bCs/>
          <w:sz w:val="24"/>
          <w:szCs w:val="24"/>
        </w:rPr>
        <w:t>614</w:t>
      </w:r>
      <w:r w:rsidR="008C43C9" w:rsidRPr="002D46EE">
        <w:rPr>
          <w:rFonts w:ascii="宋体" w:hAnsi="宋体"/>
          <w:bCs/>
          <w:sz w:val="24"/>
          <w:szCs w:val="24"/>
        </w:rPr>
        <w:t>股</w:t>
      </w:r>
      <w:r w:rsidR="008C43C9" w:rsidRPr="002D46EE">
        <w:rPr>
          <w:rFonts w:ascii="宋体" w:hAnsi="宋体" w:hint="eastAsia"/>
          <w:bCs/>
          <w:sz w:val="24"/>
          <w:szCs w:val="24"/>
        </w:rPr>
        <w:t>，占本公司总股本的</w:t>
      </w:r>
      <w:r w:rsidR="00967C03">
        <w:rPr>
          <w:rFonts w:ascii="宋体" w:hAnsi="宋体" w:hint="eastAsia"/>
          <w:bCs/>
          <w:sz w:val="24"/>
          <w:szCs w:val="24"/>
        </w:rPr>
        <w:t>1.995</w:t>
      </w:r>
      <w:r w:rsidR="008C43C9" w:rsidRPr="002D46EE">
        <w:rPr>
          <w:rFonts w:ascii="宋体" w:hAnsi="宋体" w:hint="eastAsia"/>
          <w:bCs/>
          <w:sz w:val="24"/>
          <w:szCs w:val="24"/>
        </w:rPr>
        <w:t>%，其中普通账户持有</w:t>
      </w:r>
      <w:r w:rsidR="008C43C9">
        <w:rPr>
          <w:rFonts w:ascii="宋体" w:hAnsi="宋体" w:hint="eastAsia"/>
          <w:bCs/>
          <w:sz w:val="24"/>
          <w:szCs w:val="24"/>
        </w:rPr>
        <w:t>11</w:t>
      </w:r>
      <w:r w:rsidR="00967C03">
        <w:rPr>
          <w:rFonts w:asciiTheme="minorEastAsia" w:hAnsiTheme="minorEastAsia" w:cs="宋体" w:hint="eastAsia"/>
          <w:kern w:val="0"/>
          <w:sz w:val="24"/>
          <w:szCs w:val="24"/>
        </w:rPr>
        <w:t>,</w:t>
      </w:r>
      <w:r w:rsidR="008C43C9">
        <w:rPr>
          <w:rFonts w:ascii="宋体" w:hAnsi="宋体" w:hint="eastAsia"/>
          <w:bCs/>
          <w:sz w:val="24"/>
          <w:szCs w:val="24"/>
        </w:rPr>
        <w:t>200</w:t>
      </w:r>
      <w:r w:rsidR="00967C03">
        <w:rPr>
          <w:rFonts w:asciiTheme="minorEastAsia" w:hAnsiTheme="minorEastAsia" w:cs="宋体" w:hint="eastAsia"/>
          <w:kern w:val="0"/>
          <w:sz w:val="24"/>
          <w:szCs w:val="24"/>
        </w:rPr>
        <w:t>,</w:t>
      </w:r>
      <w:r w:rsidR="008C43C9">
        <w:rPr>
          <w:rFonts w:ascii="宋体" w:hAnsi="宋体" w:hint="eastAsia"/>
          <w:bCs/>
          <w:sz w:val="24"/>
          <w:szCs w:val="24"/>
        </w:rPr>
        <w:t>200</w:t>
      </w:r>
      <w:r w:rsidR="008C43C9" w:rsidRPr="002D46EE">
        <w:rPr>
          <w:rFonts w:ascii="宋体" w:hAnsi="宋体"/>
          <w:bCs/>
          <w:sz w:val="24"/>
          <w:szCs w:val="24"/>
        </w:rPr>
        <w:t>股</w:t>
      </w:r>
      <w:r w:rsidR="008C43C9" w:rsidRPr="002D46EE">
        <w:rPr>
          <w:rFonts w:ascii="宋体" w:hAnsi="宋体" w:hint="eastAsia"/>
          <w:bCs/>
          <w:sz w:val="24"/>
          <w:szCs w:val="24"/>
        </w:rPr>
        <w:t>，</w:t>
      </w:r>
      <w:r w:rsidR="008C43C9">
        <w:rPr>
          <w:rFonts w:ascii="宋体" w:hAnsi="宋体" w:hint="eastAsia"/>
          <w:bCs/>
          <w:sz w:val="24"/>
          <w:szCs w:val="24"/>
        </w:rPr>
        <w:t>社保</w:t>
      </w:r>
      <w:r w:rsidR="008C43C9" w:rsidRPr="002D46EE">
        <w:rPr>
          <w:rFonts w:ascii="宋体" w:hAnsi="宋体" w:hint="eastAsia"/>
          <w:bCs/>
          <w:sz w:val="24"/>
          <w:szCs w:val="24"/>
        </w:rPr>
        <w:t>划转专户持有</w:t>
      </w:r>
      <w:r w:rsidR="008C43C9" w:rsidRPr="002D46EE">
        <w:rPr>
          <w:rFonts w:ascii="宋体" w:hAnsi="宋体"/>
          <w:bCs/>
          <w:sz w:val="24"/>
          <w:szCs w:val="24"/>
        </w:rPr>
        <w:t>403,262,414股</w:t>
      </w:r>
      <w:r w:rsidR="008C43C9" w:rsidRPr="002D46EE">
        <w:rPr>
          <w:rFonts w:ascii="宋体" w:hAnsi="宋体" w:hint="eastAsia"/>
          <w:bCs/>
          <w:sz w:val="24"/>
          <w:szCs w:val="24"/>
        </w:rPr>
        <w:t>。</w:t>
      </w:r>
      <w:r w:rsidR="002E047E" w:rsidRPr="002E047E">
        <w:rPr>
          <w:rFonts w:ascii="宋体" w:hAnsi="宋体" w:hint="eastAsia"/>
          <w:bCs/>
          <w:sz w:val="24"/>
          <w:szCs w:val="24"/>
        </w:rPr>
        <w:t>福建金投为福建省财政厅100%控股子公司，划转完成后福建省财政厅与福建金</w:t>
      </w:r>
      <w:bookmarkStart w:id="0" w:name="_GoBack"/>
      <w:bookmarkEnd w:id="0"/>
      <w:r w:rsidR="002E047E" w:rsidRPr="002E047E">
        <w:rPr>
          <w:rFonts w:ascii="宋体" w:hAnsi="宋体" w:hint="eastAsia"/>
          <w:bCs/>
          <w:sz w:val="24"/>
          <w:szCs w:val="24"/>
        </w:rPr>
        <w:t>投合计持有本公司</w:t>
      </w:r>
      <w:r w:rsidR="002E047E">
        <w:rPr>
          <w:rFonts w:asciiTheme="minorEastAsia" w:hAnsiTheme="minorEastAsia" w:cs="宋体" w:hint="eastAsia"/>
          <w:kern w:val="0"/>
          <w:sz w:val="24"/>
          <w:szCs w:val="24"/>
        </w:rPr>
        <w:t>普通股</w:t>
      </w:r>
      <w:r w:rsidR="002E047E" w:rsidRPr="002D46EE">
        <w:rPr>
          <w:rFonts w:ascii="宋体" w:hAnsi="宋体" w:hint="eastAsia"/>
          <w:bCs/>
          <w:sz w:val="24"/>
          <w:szCs w:val="24"/>
        </w:rPr>
        <w:t>股份</w:t>
      </w:r>
      <w:r w:rsidR="002E047E">
        <w:rPr>
          <w:rFonts w:ascii="宋体" w:hAnsi="宋体" w:hint="eastAsia"/>
          <w:bCs/>
          <w:sz w:val="24"/>
          <w:szCs w:val="24"/>
        </w:rPr>
        <w:t>3,926,381,239</w:t>
      </w:r>
      <w:r w:rsidR="002E047E" w:rsidRPr="002D46EE">
        <w:rPr>
          <w:rFonts w:ascii="宋体" w:hAnsi="宋体"/>
          <w:bCs/>
          <w:sz w:val="24"/>
          <w:szCs w:val="24"/>
        </w:rPr>
        <w:t>股</w:t>
      </w:r>
      <w:r w:rsidR="002E047E" w:rsidRPr="002D46EE">
        <w:rPr>
          <w:rFonts w:ascii="宋体" w:hAnsi="宋体" w:hint="eastAsia"/>
          <w:bCs/>
          <w:sz w:val="24"/>
          <w:szCs w:val="24"/>
        </w:rPr>
        <w:t>，占本公司总股本的</w:t>
      </w:r>
      <w:r w:rsidR="002E047E">
        <w:rPr>
          <w:rFonts w:ascii="宋体" w:hAnsi="宋体" w:hint="eastAsia"/>
          <w:bCs/>
          <w:sz w:val="24"/>
          <w:szCs w:val="24"/>
        </w:rPr>
        <w:t>18.90</w:t>
      </w:r>
      <w:r w:rsidR="002E047E" w:rsidRPr="002D46EE">
        <w:rPr>
          <w:rFonts w:ascii="宋体" w:hAnsi="宋体" w:hint="eastAsia"/>
          <w:bCs/>
          <w:sz w:val="24"/>
          <w:szCs w:val="24"/>
        </w:rPr>
        <w:t>%</w:t>
      </w:r>
      <w:r w:rsidR="002E047E" w:rsidRPr="002E047E">
        <w:rPr>
          <w:rFonts w:ascii="宋体" w:hAnsi="宋体" w:hint="eastAsia"/>
          <w:bCs/>
          <w:sz w:val="24"/>
          <w:szCs w:val="24"/>
        </w:rPr>
        <w:t>。</w:t>
      </w:r>
    </w:p>
    <w:p w:rsidR="00946B6E" w:rsidRDefault="00946B6E" w:rsidP="00946B6E">
      <w:pPr>
        <w:adjustRightInd w:val="0"/>
        <w:snapToGrid w:val="0"/>
        <w:spacing w:line="500" w:lineRule="exact"/>
        <w:ind w:firstLine="480"/>
        <w:outlineLvl w:val="0"/>
        <w:rPr>
          <w:rFonts w:ascii="宋体" w:hAnsi="宋体"/>
          <w:sz w:val="24"/>
          <w:szCs w:val="24"/>
        </w:rPr>
      </w:pPr>
      <w:r>
        <w:rPr>
          <w:rFonts w:ascii="宋体" w:hAnsi="宋体" w:hint="eastAsia"/>
          <w:sz w:val="24"/>
          <w:szCs w:val="24"/>
        </w:rPr>
        <w:t>本次</w:t>
      </w:r>
      <w:r w:rsidRPr="00946B6E">
        <w:rPr>
          <w:rFonts w:ascii="宋体" w:hAnsi="宋体" w:hint="eastAsia"/>
          <w:sz w:val="24"/>
          <w:szCs w:val="24"/>
        </w:rPr>
        <w:t>股份划转</w:t>
      </w:r>
      <w:r w:rsidR="006917D6">
        <w:rPr>
          <w:rFonts w:ascii="宋体" w:hAnsi="宋体" w:hint="eastAsia"/>
          <w:sz w:val="24"/>
          <w:szCs w:val="24"/>
        </w:rPr>
        <w:t>事项</w:t>
      </w:r>
      <w:r>
        <w:rPr>
          <w:rFonts w:ascii="宋体" w:hAnsi="宋体" w:hint="eastAsia"/>
          <w:sz w:val="24"/>
          <w:szCs w:val="24"/>
        </w:rPr>
        <w:t>尚需经过上海证券交易所合</w:t>
      </w:r>
      <w:proofErr w:type="gramStart"/>
      <w:r>
        <w:rPr>
          <w:rFonts w:ascii="宋体" w:hAnsi="宋体" w:hint="eastAsia"/>
          <w:sz w:val="24"/>
          <w:szCs w:val="24"/>
        </w:rPr>
        <w:t>规</w:t>
      </w:r>
      <w:proofErr w:type="gramEnd"/>
      <w:r>
        <w:rPr>
          <w:rFonts w:ascii="宋体" w:hAnsi="宋体" w:hint="eastAsia"/>
          <w:sz w:val="24"/>
          <w:szCs w:val="24"/>
        </w:rPr>
        <w:t>性确认，并在中国证券登记结算有限责任公司上海分公司办理过户登记等手续。本公司将持续跟进上述事项进展情况，并按照法律法规及时履行信息披露义务。</w:t>
      </w:r>
    </w:p>
    <w:p w:rsidR="00A908DF" w:rsidRDefault="005D1D5E">
      <w:pPr>
        <w:adjustRightInd w:val="0"/>
        <w:snapToGrid w:val="0"/>
        <w:spacing w:line="500" w:lineRule="exact"/>
        <w:ind w:firstLine="480"/>
        <w:outlineLvl w:val="0"/>
        <w:rPr>
          <w:rFonts w:ascii="宋体" w:hAnsi="宋体"/>
          <w:sz w:val="24"/>
          <w:szCs w:val="24"/>
        </w:rPr>
      </w:pPr>
      <w:r>
        <w:rPr>
          <w:rFonts w:ascii="宋体" w:hAnsi="宋体" w:hint="eastAsia"/>
          <w:sz w:val="24"/>
          <w:szCs w:val="24"/>
        </w:rPr>
        <w:t>特此公告。</w:t>
      </w:r>
    </w:p>
    <w:p w:rsidR="00F21ED7" w:rsidRDefault="00F21ED7">
      <w:pPr>
        <w:spacing w:line="500" w:lineRule="exact"/>
        <w:ind w:left="560" w:firstLine="570"/>
        <w:jc w:val="right"/>
        <w:rPr>
          <w:rFonts w:asciiTheme="minorEastAsia" w:hAnsiTheme="minorEastAsia"/>
          <w:sz w:val="24"/>
          <w:szCs w:val="24"/>
        </w:rPr>
      </w:pPr>
    </w:p>
    <w:p w:rsidR="00A908DF" w:rsidRDefault="005D1D5E">
      <w:pPr>
        <w:spacing w:line="500" w:lineRule="exact"/>
        <w:ind w:left="560" w:firstLine="570"/>
        <w:jc w:val="right"/>
        <w:rPr>
          <w:rFonts w:asciiTheme="minorEastAsia" w:hAnsiTheme="minorEastAsia"/>
          <w:sz w:val="24"/>
          <w:szCs w:val="24"/>
        </w:rPr>
      </w:pPr>
      <w:r>
        <w:rPr>
          <w:rFonts w:asciiTheme="minorEastAsia" w:hAnsiTheme="minorEastAsia" w:hint="eastAsia"/>
          <w:sz w:val="24"/>
          <w:szCs w:val="24"/>
        </w:rPr>
        <w:t>兴业银行股份有限公司董事会</w:t>
      </w:r>
    </w:p>
    <w:p w:rsidR="00A908DF" w:rsidRDefault="005D1D5E" w:rsidP="00F21ED7">
      <w:pPr>
        <w:spacing w:line="500" w:lineRule="exact"/>
        <w:ind w:left="560" w:right="480" w:firstLine="570"/>
        <w:jc w:val="right"/>
        <w:rPr>
          <w:rFonts w:asciiTheme="minorEastAsia" w:hAnsiTheme="minorEastAsia"/>
          <w:sz w:val="24"/>
          <w:szCs w:val="24"/>
        </w:rPr>
      </w:pPr>
      <w:r>
        <w:rPr>
          <w:rFonts w:asciiTheme="minorEastAsia" w:hAnsiTheme="minorEastAsia" w:hint="eastAsia"/>
          <w:sz w:val="24"/>
          <w:szCs w:val="24"/>
        </w:rPr>
        <w:t>2022年</w:t>
      </w:r>
      <w:r w:rsidR="00946B6E">
        <w:rPr>
          <w:rFonts w:asciiTheme="minorEastAsia" w:hAnsiTheme="minorEastAsia" w:hint="eastAsia"/>
          <w:sz w:val="24"/>
          <w:szCs w:val="24"/>
        </w:rPr>
        <w:t>8</w:t>
      </w:r>
      <w:r>
        <w:rPr>
          <w:rFonts w:asciiTheme="minorEastAsia" w:hAnsiTheme="minorEastAsia" w:hint="eastAsia"/>
          <w:sz w:val="24"/>
          <w:szCs w:val="24"/>
        </w:rPr>
        <w:t>月</w:t>
      </w:r>
      <w:r w:rsidR="00946B6E">
        <w:rPr>
          <w:rFonts w:asciiTheme="minorEastAsia" w:hAnsiTheme="minorEastAsia" w:hint="eastAsia"/>
          <w:sz w:val="24"/>
          <w:szCs w:val="24"/>
        </w:rPr>
        <w:t>25</w:t>
      </w:r>
      <w:r>
        <w:rPr>
          <w:rFonts w:asciiTheme="minorEastAsia" w:hAnsiTheme="minorEastAsia" w:hint="eastAsia"/>
          <w:sz w:val="24"/>
          <w:szCs w:val="24"/>
        </w:rPr>
        <w:t>日</w:t>
      </w:r>
    </w:p>
    <w:p w:rsidR="00A908DF" w:rsidRDefault="00A908DF">
      <w:pPr>
        <w:spacing w:line="560" w:lineRule="exact"/>
        <w:ind w:firstLine="573"/>
        <w:rPr>
          <w:rFonts w:ascii="宋体" w:hAnsi="宋体"/>
          <w:sz w:val="28"/>
          <w:szCs w:val="28"/>
        </w:rPr>
      </w:pPr>
    </w:p>
    <w:sectPr w:rsidR="00A908DF">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E42" w:rsidRDefault="00323E42">
      <w:r>
        <w:separator/>
      </w:r>
    </w:p>
  </w:endnote>
  <w:endnote w:type="continuationSeparator" w:id="0">
    <w:p w:rsidR="00323E42" w:rsidRDefault="0032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E42" w:rsidRDefault="00323E42">
      <w:r>
        <w:separator/>
      </w:r>
    </w:p>
  </w:footnote>
  <w:footnote w:type="continuationSeparator" w:id="0">
    <w:p w:rsidR="00323E42" w:rsidRDefault="00323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A26"/>
    <w:rsid w:val="000119AC"/>
    <w:rsid w:val="00023650"/>
    <w:rsid w:val="0002434D"/>
    <w:rsid w:val="00025F1A"/>
    <w:rsid w:val="000260F7"/>
    <w:rsid w:val="00030027"/>
    <w:rsid w:val="0003744C"/>
    <w:rsid w:val="000468B0"/>
    <w:rsid w:val="00055532"/>
    <w:rsid w:val="00074D03"/>
    <w:rsid w:val="000B4746"/>
    <w:rsid w:val="0010193E"/>
    <w:rsid w:val="0011172C"/>
    <w:rsid w:val="00133266"/>
    <w:rsid w:val="001404C3"/>
    <w:rsid w:val="00172A27"/>
    <w:rsid w:val="00186513"/>
    <w:rsid w:val="00192164"/>
    <w:rsid w:val="001C2006"/>
    <w:rsid w:val="001C3468"/>
    <w:rsid w:val="001D30EE"/>
    <w:rsid w:val="0021019F"/>
    <w:rsid w:val="002139E9"/>
    <w:rsid w:val="00231BA6"/>
    <w:rsid w:val="00231BEA"/>
    <w:rsid w:val="00242084"/>
    <w:rsid w:val="00272A6D"/>
    <w:rsid w:val="00280A00"/>
    <w:rsid w:val="002A7848"/>
    <w:rsid w:val="002E047E"/>
    <w:rsid w:val="002E2758"/>
    <w:rsid w:val="002E41FC"/>
    <w:rsid w:val="00323E42"/>
    <w:rsid w:val="0032754F"/>
    <w:rsid w:val="0033234A"/>
    <w:rsid w:val="00344801"/>
    <w:rsid w:val="00362BC5"/>
    <w:rsid w:val="0036325C"/>
    <w:rsid w:val="00385A88"/>
    <w:rsid w:val="003A1E05"/>
    <w:rsid w:val="003B0A84"/>
    <w:rsid w:val="003B6D09"/>
    <w:rsid w:val="003C3569"/>
    <w:rsid w:val="003C5C46"/>
    <w:rsid w:val="003E13AB"/>
    <w:rsid w:val="003E79CF"/>
    <w:rsid w:val="003E7CDF"/>
    <w:rsid w:val="00403288"/>
    <w:rsid w:val="00417352"/>
    <w:rsid w:val="00457866"/>
    <w:rsid w:val="004A4624"/>
    <w:rsid w:val="004C0D70"/>
    <w:rsid w:val="004E3F9C"/>
    <w:rsid w:val="00510019"/>
    <w:rsid w:val="00511B7D"/>
    <w:rsid w:val="00514045"/>
    <w:rsid w:val="00514206"/>
    <w:rsid w:val="0051581C"/>
    <w:rsid w:val="005171FC"/>
    <w:rsid w:val="00536A73"/>
    <w:rsid w:val="0055302A"/>
    <w:rsid w:val="00570B32"/>
    <w:rsid w:val="00593BE2"/>
    <w:rsid w:val="005B3EBB"/>
    <w:rsid w:val="005D1D5E"/>
    <w:rsid w:val="005E4D2C"/>
    <w:rsid w:val="005E556A"/>
    <w:rsid w:val="005E56E7"/>
    <w:rsid w:val="006115EF"/>
    <w:rsid w:val="00612E89"/>
    <w:rsid w:val="00614053"/>
    <w:rsid w:val="006165E7"/>
    <w:rsid w:val="00623F75"/>
    <w:rsid w:val="00642394"/>
    <w:rsid w:val="00651370"/>
    <w:rsid w:val="00666124"/>
    <w:rsid w:val="006917D6"/>
    <w:rsid w:val="006A2189"/>
    <w:rsid w:val="006C0DEF"/>
    <w:rsid w:val="006C11D7"/>
    <w:rsid w:val="006C5236"/>
    <w:rsid w:val="006E0102"/>
    <w:rsid w:val="00705281"/>
    <w:rsid w:val="007074F9"/>
    <w:rsid w:val="00716A8C"/>
    <w:rsid w:val="007411F2"/>
    <w:rsid w:val="0074436D"/>
    <w:rsid w:val="00763988"/>
    <w:rsid w:val="007829F9"/>
    <w:rsid w:val="007D5B74"/>
    <w:rsid w:val="007F4DF5"/>
    <w:rsid w:val="00814E68"/>
    <w:rsid w:val="00815E46"/>
    <w:rsid w:val="008308D6"/>
    <w:rsid w:val="00847C7B"/>
    <w:rsid w:val="008506C5"/>
    <w:rsid w:val="008513A9"/>
    <w:rsid w:val="00871ECE"/>
    <w:rsid w:val="008914D5"/>
    <w:rsid w:val="008A0AFB"/>
    <w:rsid w:val="008B04A1"/>
    <w:rsid w:val="008B513D"/>
    <w:rsid w:val="008C43C9"/>
    <w:rsid w:val="008C6F8D"/>
    <w:rsid w:val="008D30B2"/>
    <w:rsid w:val="008E1FC9"/>
    <w:rsid w:val="008F02A1"/>
    <w:rsid w:val="008F3A89"/>
    <w:rsid w:val="00903856"/>
    <w:rsid w:val="00905083"/>
    <w:rsid w:val="0090688A"/>
    <w:rsid w:val="0094160E"/>
    <w:rsid w:val="00946B6E"/>
    <w:rsid w:val="00967C03"/>
    <w:rsid w:val="00975E8C"/>
    <w:rsid w:val="009C2AEA"/>
    <w:rsid w:val="009D1503"/>
    <w:rsid w:val="009F2FE5"/>
    <w:rsid w:val="009F7F36"/>
    <w:rsid w:val="00A01F86"/>
    <w:rsid w:val="00A1176A"/>
    <w:rsid w:val="00A16E63"/>
    <w:rsid w:val="00A50B64"/>
    <w:rsid w:val="00A62E26"/>
    <w:rsid w:val="00A83B50"/>
    <w:rsid w:val="00A908DF"/>
    <w:rsid w:val="00A91F0B"/>
    <w:rsid w:val="00A9395B"/>
    <w:rsid w:val="00A94157"/>
    <w:rsid w:val="00AA3BB1"/>
    <w:rsid w:val="00AC3867"/>
    <w:rsid w:val="00AE6280"/>
    <w:rsid w:val="00AF282E"/>
    <w:rsid w:val="00AF6A68"/>
    <w:rsid w:val="00B2145E"/>
    <w:rsid w:val="00B52CBD"/>
    <w:rsid w:val="00B6711E"/>
    <w:rsid w:val="00B7473F"/>
    <w:rsid w:val="00BA1B15"/>
    <w:rsid w:val="00BC0F4D"/>
    <w:rsid w:val="00BC2C40"/>
    <w:rsid w:val="00BC483F"/>
    <w:rsid w:val="00BD70F6"/>
    <w:rsid w:val="00BD7DD8"/>
    <w:rsid w:val="00BE06E3"/>
    <w:rsid w:val="00BF3F51"/>
    <w:rsid w:val="00C102EC"/>
    <w:rsid w:val="00C2063D"/>
    <w:rsid w:val="00C4723E"/>
    <w:rsid w:val="00C550A4"/>
    <w:rsid w:val="00C71877"/>
    <w:rsid w:val="00C74FED"/>
    <w:rsid w:val="00C75679"/>
    <w:rsid w:val="00C75C33"/>
    <w:rsid w:val="00C80CB9"/>
    <w:rsid w:val="00C86DF9"/>
    <w:rsid w:val="00C903C3"/>
    <w:rsid w:val="00C9046D"/>
    <w:rsid w:val="00C95FA3"/>
    <w:rsid w:val="00CB3017"/>
    <w:rsid w:val="00CB7050"/>
    <w:rsid w:val="00CC252F"/>
    <w:rsid w:val="00CD6A4B"/>
    <w:rsid w:val="00D671BA"/>
    <w:rsid w:val="00D9715E"/>
    <w:rsid w:val="00DD0F8B"/>
    <w:rsid w:val="00DD45DC"/>
    <w:rsid w:val="00DE5DA5"/>
    <w:rsid w:val="00E12988"/>
    <w:rsid w:val="00E1387A"/>
    <w:rsid w:val="00E1763D"/>
    <w:rsid w:val="00E36841"/>
    <w:rsid w:val="00E420CD"/>
    <w:rsid w:val="00E469C2"/>
    <w:rsid w:val="00E4785F"/>
    <w:rsid w:val="00E65AEF"/>
    <w:rsid w:val="00E75F69"/>
    <w:rsid w:val="00E7792C"/>
    <w:rsid w:val="00E81B6E"/>
    <w:rsid w:val="00EA48F1"/>
    <w:rsid w:val="00EB30A4"/>
    <w:rsid w:val="00EC11A9"/>
    <w:rsid w:val="00EC687E"/>
    <w:rsid w:val="00EF3336"/>
    <w:rsid w:val="00EF5704"/>
    <w:rsid w:val="00F21ED7"/>
    <w:rsid w:val="00F55C2F"/>
    <w:rsid w:val="00F67B86"/>
    <w:rsid w:val="00F84ADF"/>
    <w:rsid w:val="00F931A3"/>
    <w:rsid w:val="00FA0E96"/>
    <w:rsid w:val="00FA7FAF"/>
    <w:rsid w:val="00FB4061"/>
    <w:rsid w:val="00FC2F72"/>
    <w:rsid w:val="00FE7B87"/>
    <w:rsid w:val="00FF6C86"/>
    <w:rsid w:val="02F33B9E"/>
    <w:rsid w:val="07B54EC6"/>
    <w:rsid w:val="07E4653C"/>
    <w:rsid w:val="122511FB"/>
    <w:rsid w:val="1F3A207D"/>
    <w:rsid w:val="2DDD57F8"/>
    <w:rsid w:val="320F6027"/>
    <w:rsid w:val="32A97C6D"/>
    <w:rsid w:val="39DC3E01"/>
    <w:rsid w:val="3FB738AB"/>
    <w:rsid w:val="44054765"/>
    <w:rsid w:val="4B2545A3"/>
    <w:rsid w:val="54D23459"/>
    <w:rsid w:val="57395364"/>
    <w:rsid w:val="5B4C4811"/>
    <w:rsid w:val="5FD34060"/>
    <w:rsid w:val="60AC1290"/>
    <w:rsid w:val="64AB070B"/>
    <w:rsid w:val="697B5879"/>
    <w:rsid w:val="6A2C413A"/>
    <w:rsid w:val="6F3C329A"/>
    <w:rsid w:val="7C2C6946"/>
    <w:rsid w:val="7F3178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qFormat/>
    <w:pPr>
      <w:ind w:leftChars="2500" w:left="100"/>
    </w:pPr>
    <w:rPr>
      <w:rFonts w:ascii="Times New Roman" w:hAnsi="Times New Roman"/>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Pr>
      <w:b/>
      <w:bCs/>
    </w:rPr>
  </w:style>
  <w:style w:type="character" w:styleId="aa">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kern w:val="2"/>
      <w:sz w:val="18"/>
      <w:szCs w:val="18"/>
    </w:rPr>
  </w:style>
  <w:style w:type="character" w:customStyle="1" w:styleId="Char2">
    <w:name w:val="页脚 Char"/>
    <w:basedOn w:val="a0"/>
    <w:link w:val="a6"/>
    <w:uiPriority w:val="99"/>
    <w:qFormat/>
    <w:rPr>
      <w:kern w:val="2"/>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1">
    <w:name w:val="批注框文本 Char"/>
    <w:basedOn w:val="a0"/>
    <w:link w:val="a5"/>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9"/>
    <w:uiPriority w:val="99"/>
    <w:semiHidden/>
    <w:qFormat/>
    <w:rPr>
      <w:b/>
      <w:bCs/>
      <w:kern w:val="2"/>
      <w:sz w:val="21"/>
      <w:szCs w:val="22"/>
    </w:rPr>
  </w:style>
  <w:style w:type="character" w:customStyle="1" w:styleId="Char0">
    <w:name w:val="日期 Char"/>
    <w:basedOn w:val="a0"/>
    <w:link w:val="a4"/>
    <w:qFormat/>
    <w:rPr>
      <w:rFonts w:ascii="Times New Roman" w:hAnsi="Times New Roman"/>
      <w:kern w:val="2"/>
      <w:sz w:val="21"/>
      <w:szCs w:val="24"/>
    </w:rPr>
  </w:style>
  <w:style w:type="paragraph" w:styleId="ab">
    <w:name w:val="List Paragraph"/>
    <w:basedOn w:val="a"/>
    <w:uiPriority w:val="99"/>
    <w:qFormat/>
    <w:pPr>
      <w:ind w:firstLineChars="200" w:firstLine="420"/>
    </w:pPr>
    <w:rPr>
      <w:rFonts w:ascii="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qFormat/>
    <w:pPr>
      <w:ind w:leftChars="2500" w:left="100"/>
    </w:pPr>
    <w:rPr>
      <w:rFonts w:ascii="Times New Roman" w:hAnsi="Times New Roman"/>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Pr>
      <w:b/>
      <w:bCs/>
    </w:rPr>
  </w:style>
  <w:style w:type="character" w:styleId="aa">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kern w:val="2"/>
      <w:sz w:val="18"/>
      <w:szCs w:val="18"/>
    </w:rPr>
  </w:style>
  <w:style w:type="character" w:customStyle="1" w:styleId="Char2">
    <w:name w:val="页脚 Char"/>
    <w:basedOn w:val="a0"/>
    <w:link w:val="a6"/>
    <w:uiPriority w:val="99"/>
    <w:qFormat/>
    <w:rPr>
      <w:kern w:val="2"/>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1">
    <w:name w:val="批注框文本 Char"/>
    <w:basedOn w:val="a0"/>
    <w:link w:val="a5"/>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9"/>
    <w:uiPriority w:val="99"/>
    <w:semiHidden/>
    <w:qFormat/>
    <w:rPr>
      <w:b/>
      <w:bCs/>
      <w:kern w:val="2"/>
      <w:sz w:val="21"/>
      <w:szCs w:val="22"/>
    </w:rPr>
  </w:style>
  <w:style w:type="character" w:customStyle="1" w:styleId="Char0">
    <w:name w:val="日期 Char"/>
    <w:basedOn w:val="a0"/>
    <w:link w:val="a4"/>
    <w:qFormat/>
    <w:rPr>
      <w:rFonts w:ascii="Times New Roman" w:hAnsi="Times New Roman"/>
      <w:kern w:val="2"/>
      <w:sz w:val="21"/>
      <w:szCs w:val="24"/>
    </w:rPr>
  </w:style>
  <w:style w:type="paragraph" w:styleId="ab">
    <w:name w:val="List Paragraph"/>
    <w:basedOn w:val="a"/>
    <w:uiPriority w:val="99"/>
    <w:qFormat/>
    <w:pPr>
      <w:ind w:firstLineChars="200" w:firstLine="420"/>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115</Words>
  <Characters>659</Characters>
  <Application>Microsoft Office Word</Application>
  <DocSecurity>0</DocSecurity>
  <Lines>5</Lines>
  <Paragraphs>1</Paragraphs>
  <ScaleCrop>false</ScaleCrop>
  <Company>CIB</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陈宇</cp:lastModifiedBy>
  <cp:revision>46</cp:revision>
  <cp:lastPrinted>2022-08-25T10:39:00Z</cp:lastPrinted>
  <dcterms:created xsi:type="dcterms:W3CDTF">2021-10-22T07:07:00Z</dcterms:created>
  <dcterms:modified xsi:type="dcterms:W3CDTF">2022-08-25T11:10:00Z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