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67" w:rsidRDefault="00C87B3E" w:rsidP="00A933A0">
      <w:pPr>
        <w:tabs>
          <w:tab w:val="left" w:pos="4111"/>
        </w:tabs>
        <w:spacing w:line="400" w:lineRule="exact"/>
        <w:rPr>
          <w:rFonts w:ascii="宋体" w:hAnsi="宋体"/>
          <w:b/>
          <w:szCs w:val="21"/>
        </w:rPr>
      </w:pPr>
      <w:r>
        <w:rPr>
          <w:rFonts w:ascii="宋体" w:hAnsi="宋体" w:hint="eastAsia"/>
          <w:b/>
          <w:szCs w:val="21"/>
        </w:rPr>
        <w:t>公告编号：临2022-0</w:t>
      </w:r>
      <w:r w:rsidR="00EE5ACE">
        <w:rPr>
          <w:rFonts w:ascii="宋体" w:hAnsi="宋体" w:hint="eastAsia"/>
          <w:b/>
          <w:szCs w:val="21"/>
        </w:rPr>
        <w:t>55</w:t>
      </w:r>
    </w:p>
    <w:p w:rsidR="00074267" w:rsidRDefault="00C87B3E" w:rsidP="00A933A0">
      <w:pPr>
        <w:spacing w:line="400" w:lineRule="exact"/>
        <w:rPr>
          <w:rFonts w:ascii="宋体" w:hAnsi="宋体"/>
          <w:b/>
          <w:szCs w:val="21"/>
        </w:rPr>
      </w:pPr>
      <w:r>
        <w:rPr>
          <w:rFonts w:ascii="宋体" w:hAnsi="宋体" w:hint="eastAsia"/>
          <w:b/>
          <w:szCs w:val="21"/>
        </w:rPr>
        <w:t xml:space="preserve">A股代码： 601166             </w:t>
      </w:r>
      <w:r>
        <w:rPr>
          <w:rFonts w:ascii="宋体" w:hAnsi="宋体"/>
          <w:b/>
          <w:szCs w:val="21"/>
        </w:rPr>
        <w:t xml:space="preserve"> </w:t>
      </w:r>
      <w:r>
        <w:rPr>
          <w:rFonts w:ascii="宋体" w:hAnsi="宋体" w:hint="eastAsia"/>
          <w:b/>
          <w:szCs w:val="21"/>
        </w:rPr>
        <w:t xml:space="preserve">         A股简称：兴业银行        </w:t>
      </w:r>
      <w:r>
        <w:rPr>
          <w:rFonts w:ascii="宋体" w:hAnsi="宋体"/>
          <w:b/>
          <w:szCs w:val="21"/>
        </w:rPr>
        <w:t xml:space="preserve"> </w:t>
      </w:r>
      <w:r>
        <w:rPr>
          <w:rFonts w:ascii="宋体" w:hAnsi="宋体" w:hint="eastAsia"/>
          <w:b/>
          <w:szCs w:val="21"/>
        </w:rPr>
        <w:t xml:space="preserve"> </w:t>
      </w:r>
      <w:r>
        <w:rPr>
          <w:rFonts w:ascii="宋体" w:hAnsi="宋体"/>
          <w:b/>
          <w:szCs w:val="21"/>
        </w:rPr>
        <w:t xml:space="preserve">  </w:t>
      </w:r>
      <w:r>
        <w:rPr>
          <w:rFonts w:ascii="宋体" w:hAnsi="宋体" w:hint="eastAsia"/>
          <w:b/>
          <w:szCs w:val="21"/>
        </w:rPr>
        <w:t xml:space="preserve"> </w:t>
      </w:r>
    </w:p>
    <w:p w:rsidR="00074267" w:rsidRDefault="00C87B3E" w:rsidP="00A933A0">
      <w:pPr>
        <w:spacing w:line="400" w:lineRule="exact"/>
        <w:jc w:val="left"/>
        <w:rPr>
          <w:rFonts w:ascii="宋体" w:hAnsi="宋体"/>
          <w:b/>
          <w:szCs w:val="21"/>
        </w:rPr>
      </w:pPr>
      <w:r>
        <w:rPr>
          <w:rFonts w:ascii="宋体" w:hAnsi="宋体" w:hint="eastAsia"/>
          <w:b/>
          <w:szCs w:val="21"/>
        </w:rPr>
        <w:t>优先股代码：360005、360012、360032     优先股简称：兴业优1、兴业优2、兴业优3</w:t>
      </w:r>
    </w:p>
    <w:p w:rsidR="00074267" w:rsidRDefault="00C87B3E" w:rsidP="00A933A0">
      <w:pPr>
        <w:spacing w:line="400" w:lineRule="exact"/>
        <w:jc w:val="left"/>
        <w:rPr>
          <w:rFonts w:ascii="宋体" w:hAnsi="宋体"/>
          <w:b/>
          <w:szCs w:val="21"/>
        </w:rPr>
      </w:pPr>
      <w:r>
        <w:rPr>
          <w:rFonts w:ascii="宋体" w:hAnsi="宋体" w:hint="eastAsia"/>
          <w:b/>
          <w:szCs w:val="21"/>
        </w:rPr>
        <w:t>可转债代码：113052                     可转债简称：兴业转债</w:t>
      </w:r>
    </w:p>
    <w:p w:rsidR="00074267" w:rsidRDefault="00074267">
      <w:pPr>
        <w:jc w:val="left"/>
        <w:rPr>
          <w:rFonts w:ascii="宋体" w:hAnsi="宋体"/>
          <w:b/>
          <w:szCs w:val="21"/>
        </w:rPr>
      </w:pPr>
    </w:p>
    <w:p w:rsidR="00074267" w:rsidRDefault="00C87B3E">
      <w:pPr>
        <w:spacing w:line="360" w:lineRule="auto"/>
        <w:jc w:val="center"/>
        <w:rPr>
          <w:rFonts w:ascii="黑体" w:eastAsia="黑体"/>
          <w:color w:val="FF0000"/>
          <w:sz w:val="36"/>
          <w:szCs w:val="36"/>
        </w:rPr>
      </w:pPr>
      <w:r>
        <w:rPr>
          <w:rFonts w:ascii="黑体" w:eastAsia="黑体" w:hint="eastAsia"/>
          <w:color w:val="FF0000"/>
          <w:sz w:val="36"/>
          <w:szCs w:val="36"/>
        </w:rPr>
        <w:t>兴业银行股份有限公司</w:t>
      </w:r>
    </w:p>
    <w:p w:rsidR="00EE5ACE" w:rsidRDefault="00EE5ACE" w:rsidP="00EE5ACE">
      <w:pPr>
        <w:spacing w:line="540" w:lineRule="exact"/>
        <w:jc w:val="center"/>
        <w:rPr>
          <w:rFonts w:ascii="宋体" w:hAnsi="宋体"/>
          <w:sz w:val="24"/>
        </w:rPr>
      </w:pPr>
      <w:r>
        <w:rPr>
          <w:rFonts w:ascii="黑体" w:eastAsia="黑体" w:hint="eastAsia"/>
          <w:color w:val="FF0000"/>
          <w:sz w:val="36"/>
          <w:szCs w:val="36"/>
        </w:rPr>
        <w:t>关于股东股份划转</w:t>
      </w:r>
      <w:r w:rsidR="0095797E">
        <w:rPr>
          <w:rFonts w:ascii="黑体" w:eastAsia="黑体" w:hint="eastAsia"/>
          <w:color w:val="FF0000"/>
          <w:sz w:val="36"/>
          <w:szCs w:val="36"/>
        </w:rPr>
        <w:t>完成过户</w:t>
      </w:r>
      <w:r w:rsidR="00255C97">
        <w:rPr>
          <w:rFonts w:ascii="黑体" w:eastAsia="黑体" w:hint="eastAsia"/>
          <w:color w:val="FF0000"/>
          <w:sz w:val="36"/>
          <w:szCs w:val="36"/>
        </w:rPr>
        <w:t>登记</w:t>
      </w:r>
      <w:r>
        <w:rPr>
          <w:rFonts w:ascii="黑体" w:eastAsia="黑体" w:hint="eastAsia"/>
          <w:color w:val="FF0000"/>
          <w:sz w:val="36"/>
          <w:szCs w:val="36"/>
        </w:rPr>
        <w:t>的公告</w:t>
      </w:r>
    </w:p>
    <w:p w:rsidR="00074267" w:rsidRPr="00EE5ACE" w:rsidRDefault="00074267" w:rsidP="001663DC">
      <w:pPr>
        <w:ind w:firstLine="573"/>
        <w:rPr>
          <w:rFonts w:ascii="宋体" w:hAnsi="宋体"/>
          <w:sz w:val="24"/>
        </w:rPr>
      </w:pPr>
    </w:p>
    <w:p w:rsidR="00074267" w:rsidRDefault="00C87B3E" w:rsidP="0000040C">
      <w:pPr>
        <w:spacing w:line="360" w:lineRule="auto"/>
        <w:ind w:firstLineChars="200" w:firstLine="480"/>
        <w:rPr>
          <w:rFonts w:ascii="宋体" w:hAnsi="宋体"/>
          <w:sz w:val="24"/>
        </w:rPr>
      </w:pPr>
      <w:r>
        <w:rPr>
          <w:rFonts w:ascii="宋体" w:hAnsi="宋体" w:hint="eastAsia"/>
          <w:sz w:val="24"/>
        </w:rPr>
        <w:t>本公司董事会及全体董事保证本公告内容不存在任何虚假记载、误导性陈述或者重大遗漏，并对其内容的真实性、准确性和完整性承担个别及连带责任。</w:t>
      </w:r>
    </w:p>
    <w:p w:rsidR="00074267" w:rsidRDefault="00074267" w:rsidP="0000040C">
      <w:pPr>
        <w:spacing w:line="360" w:lineRule="auto"/>
        <w:ind w:firstLine="200"/>
        <w:rPr>
          <w:rFonts w:hAnsi="宋体"/>
        </w:rPr>
      </w:pPr>
    </w:p>
    <w:p w:rsidR="00160873" w:rsidRPr="0000040C" w:rsidRDefault="00EE5ACE" w:rsidP="00A933A0">
      <w:pPr>
        <w:pStyle w:val="Default"/>
        <w:spacing w:line="500" w:lineRule="exact"/>
        <w:ind w:firstLineChars="200" w:firstLine="480"/>
        <w:jc w:val="both"/>
        <w:rPr>
          <w:rFonts w:asciiTheme="minorEastAsia" w:eastAsiaTheme="minorEastAsia" w:hAnsiTheme="minorEastAsia"/>
          <w:color w:val="auto"/>
        </w:rPr>
      </w:pPr>
      <w:r w:rsidRPr="0000040C">
        <w:rPr>
          <w:rFonts w:asciiTheme="minorEastAsia" w:eastAsiaTheme="minorEastAsia" w:hAnsiTheme="minorEastAsia" w:hint="eastAsia"/>
        </w:rPr>
        <w:t>兴业银行股份有限公司（以下简称本公司）</w:t>
      </w:r>
      <w:r w:rsidRPr="001B79CA">
        <w:rPr>
          <w:rFonts w:asciiTheme="minorEastAsia" w:eastAsiaTheme="minorEastAsia" w:hAnsiTheme="minorEastAsia" w:hint="eastAsia"/>
          <w:color w:val="auto"/>
        </w:rPr>
        <w:t>今日</w:t>
      </w:r>
      <w:r w:rsidRPr="0000040C">
        <w:rPr>
          <w:rFonts w:asciiTheme="minorEastAsia" w:eastAsiaTheme="minorEastAsia" w:hAnsiTheme="minorEastAsia" w:hint="eastAsia"/>
        </w:rPr>
        <w:t>收到股东</w:t>
      </w:r>
      <w:r w:rsidR="00160873" w:rsidRPr="0000040C">
        <w:rPr>
          <w:rFonts w:asciiTheme="minorEastAsia" w:eastAsiaTheme="minorEastAsia" w:hAnsiTheme="minorEastAsia" w:hint="eastAsia"/>
        </w:rPr>
        <w:t>福建省财政厅</w:t>
      </w:r>
      <w:r w:rsidR="008D7CAA" w:rsidRPr="0000040C">
        <w:rPr>
          <w:rFonts w:asciiTheme="minorEastAsia" w:eastAsiaTheme="minorEastAsia" w:hAnsiTheme="minorEastAsia" w:hint="eastAsia"/>
        </w:rPr>
        <w:t>和福建省金融投资有限责任公司（以下简称福建金投）</w:t>
      </w:r>
      <w:r w:rsidR="00160873" w:rsidRPr="0000040C">
        <w:rPr>
          <w:rFonts w:asciiTheme="minorEastAsia" w:eastAsiaTheme="minorEastAsia" w:hAnsiTheme="minorEastAsia" w:hint="eastAsia"/>
        </w:rPr>
        <w:t>通知，福建省财政厅与</w:t>
      </w:r>
      <w:proofErr w:type="gramStart"/>
      <w:r w:rsidR="008D7CAA" w:rsidRPr="0000040C">
        <w:rPr>
          <w:rFonts w:asciiTheme="minorEastAsia" w:eastAsiaTheme="minorEastAsia" w:hAnsiTheme="minorEastAsia" w:hint="eastAsia"/>
        </w:rPr>
        <w:t>福建金投</w:t>
      </w:r>
      <w:r w:rsidR="00C87B3E" w:rsidRPr="0000040C">
        <w:rPr>
          <w:rFonts w:asciiTheme="minorEastAsia" w:eastAsiaTheme="minorEastAsia" w:hAnsiTheme="minorEastAsia" w:hint="eastAsia"/>
          <w:color w:val="auto"/>
        </w:rPr>
        <w:t>已</w:t>
      </w:r>
      <w:r w:rsidR="00160873" w:rsidRPr="004D1046">
        <w:rPr>
          <w:rFonts w:asciiTheme="minorEastAsia" w:eastAsiaTheme="minorEastAsia" w:hAnsiTheme="minorEastAsia" w:hint="eastAsia"/>
          <w:color w:val="auto"/>
        </w:rPr>
        <w:t>于</w:t>
      </w:r>
      <w:proofErr w:type="gramEnd"/>
      <w:r w:rsidR="00BA55A5" w:rsidRPr="001B79CA">
        <w:rPr>
          <w:rFonts w:asciiTheme="minorEastAsia" w:eastAsiaTheme="minorEastAsia" w:hAnsiTheme="minorEastAsia"/>
          <w:color w:val="auto"/>
        </w:rPr>
        <w:t>9</w:t>
      </w:r>
      <w:r w:rsidR="00160873" w:rsidRPr="001B79CA">
        <w:rPr>
          <w:rFonts w:asciiTheme="minorEastAsia" w:eastAsiaTheme="minorEastAsia" w:hAnsiTheme="minorEastAsia" w:hint="eastAsia"/>
          <w:color w:val="auto"/>
        </w:rPr>
        <w:t>月</w:t>
      </w:r>
      <w:r w:rsidR="004D1046" w:rsidRPr="004D1046">
        <w:rPr>
          <w:rFonts w:asciiTheme="minorEastAsia" w:eastAsiaTheme="minorEastAsia" w:hAnsiTheme="minorEastAsia" w:hint="eastAsia"/>
          <w:color w:val="auto"/>
        </w:rPr>
        <w:t>29</w:t>
      </w:r>
      <w:r w:rsidR="00160873" w:rsidRPr="004D1046">
        <w:rPr>
          <w:rFonts w:asciiTheme="minorEastAsia" w:eastAsiaTheme="minorEastAsia" w:hAnsiTheme="minorEastAsia" w:hint="eastAsia"/>
          <w:color w:val="auto"/>
        </w:rPr>
        <w:t>日</w:t>
      </w:r>
      <w:r w:rsidR="00C87B3E" w:rsidRPr="0000040C">
        <w:rPr>
          <w:rFonts w:asciiTheme="minorEastAsia" w:eastAsiaTheme="minorEastAsia" w:hAnsiTheme="minorEastAsia" w:hint="eastAsia"/>
          <w:color w:val="auto"/>
        </w:rPr>
        <w:t>完成</w:t>
      </w:r>
      <w:r w:rsidR="0095797E" w:rsidRPr="0000040C">
        <w:rPr>
          <w:rFonts w:asciiTheme="minorEastAsia" w:eastAsiaTheme="minorEastAsia" w:hAnsiTheme="minorEastAsia" w:hint="eastAsia"/>
          <w:color w:val="auto"/>
        </w:rPr>
        <w:t>本公司</w:t>
      </w:r>
      <w:r w:rsidR="008D7CAA" w:rsidRPr="0000040C">
        <w:rPr>
          <w:rFonts w:asciiTheme="minorEastAsia" w:eastAsiaTheme="minorEastAsia" w:hAnsiTheme="minorEastAsia" w:hint="eastAsia"/>
        </w:rPr>
        <w:t>普通股股份</w:t>
      </w:r>
      <w:r w:rsidR="0095797E" w:rsidRPr="0000040C">
        <w:rPr>
          <w:rFonts w:asciiTheme="minorEastAsia" w:eastAsiaTheme="minorEastAsia" w:hAnsiTheme="minorEastAsia" w:hint="eastAsia"/>
        </w:rPr>
        <w:t>3,511,918,625股</w:t>
      </w:r>
      <w:r w:rsidR="0095797E" w:rsidRPr="0000040C">
        <w:rPr>
          <w:rFonts w:asciiTheme="minorEastAsia" w:eastAsiaTheme="minorEastAsia" w:hAnsiTheme="minorEastAsia" w:hint="eastAsia"/>
          <w:color w:val="auto"/>
        </w:rPr>
        <w:t>的</w:t>
      </w:r>
      <w:r w:rsidR="00160873" w:rsidRPr="0000040C">
        <w:rPr>
          <w:rFonts w:asciiTheme="minorEastAsia" w:eastAsiaTheme="minorEastAsia" w:hAnsiTheme="minorEastAsia" w:hint="eastAsia"/>
          <w:color w:val="auto"/>
        </w:rPr>
        <w:t>划转过户登记</w:t>
      </w:r>
      <w:r w:rsidR="00363735" w:rsidRPr="0000040C">
        <w:rPr>
          <w:rFonts w:asciiTheme="minorEastAsia" w:eastAsiaTheme="minorEastAsia" w:hAnsiTheme="minorEastAsia" w:hint="eastAsia"/>
          <w:color w:val="auto"/>
        </w:rPr>
        <w:t>。</w:t>
      </w:r>
    </w:p>
    <w:p w:rsidR="008D7CAA" w:rsidRPr="0000040C" w:rsidRDefault="0000040C" w:rsidP="00A933A0">
      <w:pPr>
        <w:pStyle w:val="Default"/>
        <w:spacing w:beforeLines="50" w:before="156" w:afterLines="50" w:after="156" w:line="500" w:lineRule="exact"/>
        <w:ind w:rightChars="50" w:right="105" w:firstLineChars="200" w:firstLine="482"/>
        <w:jc w:val="both"/>
        <w:rPr>
          <w:rFonts w:asciiTheme="minorEastAsia" w:eastAsiaTheme="minorEastAsia" w:hAnsiTheme="minorEastAsia"/>
          <w:b/>
          <w:color w:val="auto"/>
        </w:rPr>
      </w:pPr>
      <w:r>
        <w:rPr>
          <w:rFonts w:asciiTheme="minorEastAsia" w:eastAsiaTheme="minorEastAsia" w:hAnsiTheme="minorEastAsia" w:hint="eastAsia"/>
          <w:b/>
          <w:color w:val="auto"/>
        </w:rPr>
        <w:t>一、</w:t>
      </w:r>
      <w:r w:rsidR="008D7CAA" w:rsidRPr="0000040C">
        <w:rPr>
          <w:rFonts w:asciiTheme="minorEastAsia" w:eastAsiaTheme="minorEastAsia" w:hAnsiTheme="minorEastAsia" w:hint="eastAsia"/>
          <w:b/>
          <w:color w:val="auto"/>
        </w:rPr>
        <w:t>股份划转的基本情况</w:t>
      </w:r>
    </w:p>
    <w:p w:rsidR="008D7CAA" w:rsidRPr="0000040C" w:rsidRDefault="00A933A0" w:rsidP="00A933A0">
      <w:pPr>
        <w:widowControl/>
        <w:snapToGrid w:val="0"/>
        <w:spacing w:line="5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2022年3月，</w:t>
      </w:r>
      <w:r w:rsidR="008D7CAA" w:rsidRPr="0000040C">
        <w:rPr>
          <w:rFonts w:asciiTheme="minorEastAsia" w:eastAsiaTheme="minorEastAsia" w:hAnsiTheme="minorEastAsia" w:cs="宋体" w:hint="eastAsia"/>
          <w:kern w:val="0"/>
          <w:sz w:val="24"/>
          <w:szCs w:val="24"/>
        </w:rPr>
        <w:t>福建省财政厅根据 《福建省人民政府关于兴业银行股权无偿划转事项的批复》（闽政文〔2022〕137号），</w:t>
      </w:r>
      <w:r>
        <w:rPr>
          <w:rFonts w:asciiTheme="minorEastAsia" w:eastAsiaTheme="minorEastAsia" w:hAnsiTheme="minorEastAsia" w:cs="宋体" w:hint="eastAsia"/>
          <w:kern w:val="0"/>
          <w:sz w:val="24"/>
          <w:szCs w:val="24"/>
        </w:rPr>
        <w:t>拟</w:t>
      </w:r>
      <w:r w:rsidR="008D7CAA" w:rsidRPr="0000040C">
        <w:rPr>
          <w:rFonts w:asciiTheme="minorEastAsia" w:eastAsiaTheme="minorEastAsia" w:hAnsiTheme="minorEastAsia" w:cs="宋体" w:hint="eastAsia"/>
          <w:kern w:val="0"/>
          <w:sz w:val="24"/>
          <w:szCs w:val="24"/>
        </w:rPr>
        <w:t>将其普通账户持有的本公司普通股股份3,511,918,625股按程序无偿划转至福建金投</w:t>
      </w:r>
      <w:r w:rsidR="00363735" w:rsidRPr="0000040C">
        <w:rPr>
          <w:rFonts w:asciiTheme="minorEastAsia" w:eastAsiaTheme="minorEastAsia" w:hAnsiTheme="minorEastAsia" w:cs="宋体" w:hint="eastAsia"/>
          <w:kern w:val="0"/>
          <w:sz w:val="24"/>
          <w:szCs w:val="24"/>
        </w:rPr>
        <w:t>，双方签订了</w:t>
      </w:r>
      <w:r w:rsidR="008D7CAA" w:rsidRPr="0000040C">
        <w:rPr>
          <w:rFonts w:asciiTheme="minorEastAsia" w:eastAsiaTheme="minorEastAsia" w:hAnsiTheme="minorEastAsia" w:cs="宋体" w:hint="eastAsia"/>
          <w:kern w:val="0"/>
          <w:sz w:val="24"/>
          <w:szCs w:val="24"/>
        </w:rPr>
        <w:t>《上市公司国有股份无偿划转协议书》</w:t>
      </w:r>
      <w:r w:rsidR="00363735" w:rsidRPr="0000040C">
        <w:rPr>
          <w:rFonts w:asciiTheme="minorEastAsia" w:eastAsiaTheme="minorEastAsia" w:hAnsiTheme="minorEastAsia" w:cs="宋体" w:hint="eastAsia"/>
          <w:kern w:val="0"/>
          <w:sz w:val="24"/>
          <w:szCs w:val="24"/>
        </w:rPr>
        <w:t>并披露了权益变动报告书。</w:t>
      </w:r>
      <w:r w:rsidR="00B7372C">
        <w:rPr>
          <w:rFonts w:asciiTheme="minorEastAsia" w:eastAsiaTheme="minorEastAsia" w:hAnsiTheme="minorEastAsia" w:hint="eastAsia"/>
          <w:sz w:val="24"/>
          <w:szCs w:val="24"/>
        </w:rPr>
        <w:t>2022年8月，</w:t>
      </w:r>
      <w:r w:rsidR="00363735" w:rsidRPr="0000040C">
        <w:rPr>
          <w:rFonts w:asciiTheme="minorEastAsia" w:eastAsiaTheme="minorEastAsia" w:hAnsiTheme="minorEastAsia" w:hint="eastAsia"/>
          <w:sz w:val="24"/>
          <w:szCs w:val="24"/>
        </w:rPr>
        <w:t>中国银保监会</w:t>
      </w:r>
      <w:r w:rsidR="00747F21">
        <w:rPr>
          <w:rFonts w:asciiTheme="minorEastAsia" w:eastAsiaTheme="minorEastAsia" w:hAnsiTheme="minorEastAsia" w:hint="eastAsia"/>
          <w:sz w:val="24"/>
          <w:szCs w:val="24"/>
        </w:rPr>
        <w:t>出具</w:t>
      </w:r>
      <w:r w:rsidR="00363735" w:rsidRPr="0000040C">
        <w:rPr>
          <w:rFonts w:asciiTheme="minorEastAsia" w:eastAsiaTheme="minorEastAsia" w:hAnsiTheme="minorEastAsia" w:hint="eastAsia"/>
          <w:sz w:val="24"/>
          <w:szCs w:val="24"/>
        </w:rPr>
        <w:t>《关于兴业银行有关股东资格的批复》（银</w:t>
      </w:r>
      <w:proofErr w:type="gramStart"/>
      <w:r w:rsidR="00363735" w:rsidRPr="0000040C">
        <w:rPr>
          <w:rFonts w:asciiTheme="minorEastAsia" w:eastAsiaTheme="minorEastAsia" w:hAnsiTheme="minorEastAsia" w:hint="eastAsia"/>
          <w:sz w:val="24"/>
          <w:szCs w:val="24"/>
        </w:rPr>
        <w:t>保监复〔2022〕</w:t>
      </w:r>
      <w:proofErr w:type="gramEnd"/>
      <w:r w:rsidR="00363735" w:rsidRPr="0000040C">
        <w:rPr>
          <w:rFonts w:asciiTheme="minorEastAsia" w:eastAsiaTheme="minorEastAsia" w:hAnsiTheme="minorEastAsia" w:hint="eastAsia"/>
          <w:sz w:val="24"/>
          <w:szCs w:val="24"/>
        </w:rPr>
        <w:t>549号）同意上述股份划转事项。</w:t>
      </w:r>
    </w:p>
    <w:p w:rsidR="008D7CAA" w:rsidRDefault="00363735" w:rsidP="00A933A0">
      <w:pPr>
        <w:pStyle w:val="Default"/>
        <w:spacing w:line="500" w:lineRule="exact"/>
        <w:ind w:firstLineChars="200" w:firstLine="480"/>
        <w:jc w:val="both"/>
        <w:rPr>
          <w:rFonts w:asciiTheme="minorEastAsia" w:eastAsiaTheme="minorEastAsia" w:hAnsiTheme="minorEastAsia"/>
          <w:color w:val="auto"/>
        </w:rPr>
      </w:pPr>
      <w:r w:rsidRPr="0000040C">
        <w:rPr>
          <w:rFonts w:asciiTheme="minorEastAsia" w:eastAsiaTheme="minorEastAsia" w:hAnsiTheme="minorEastAsia" w:hint="eastAsia"/>
          <w:color w:val="auto"/>
        </w:rPr>
        <w:t>本公司</w:t>
      </w:r>
      <w:r w:rsidR="002E761C">
        <w:rPr>
          <w:rFonts w:asciiTheme="minorEastAsia" w:eastAsiaTheme="minorEastAsia" w:hAnsiTheme="minorEastAsia" w:hint="eastAsia"/>
          <w:color w:val="auto"/>
        </w:rPr>
        <w:t>已</w:t>
      </w:r>
      <w:r w:rsidR="00F87155" w:rsidRPr="0000040C">
        <w:rPr>
          <w:rFonts w:asciiTheme="minorEastAsia" w:eastAsiaTheme="minorEastAsia" w:hAnsiTheme="minorEastAsia" w:hint="eastAsia"/>
          <w:color w:val="auto"/>
        </w:rPr>
        <w:t>于2022年3月22日披露《兴业银行股份有限公司</w:t>
      </w:r>
      <w:r w:rsidR="00F87155" w:rsidRPr="0000040C">
        <w:rPr>
          <w:rFonts w:asciiTheme="minorEastAsia" w:eastAsiaTheme="minorEastAsia" w:hAnsiTheme="minorEastAsia" w:hint="eastAsia"/>
        </w:rPr>
        <w:t>关于股东权益变动的提示性公告</w:t>
      </w:r>
      <w:r w:rsidR="00F87155" w:rsidRPr="0000040C">
        <w:rPr>
          <w:rFonts w:asciiTheme="minorEastAsia" w:eastAsiaTheme="minorEastAsia" w:hAnsiTheme="minorEastAsia" w:hint="eastAsia"/>
          <w:color w:val="auto"/>
        </w:rPr>
        <w:t>》</w:t>
      </w:r>
      <w:r w:rsidR="00D512DE">
        <w:rPr>
          <w:rFonts w:asciiTheme="minorEastAsia" w:eastAsiaTheme="minorEastAsia" w:hAnsiTheme="minorEastAsia" w:hint="eastAsia"/>
          <w:color w:val="auto"/>
        </w:rPr>
        <w:t>，</w:t>
      </w:r>
      <w:r w:rsidR="00F87155" w:rsidRPr="0000040C">
        <w:rPr>
          <w:rFonts w:asciiTheme="minorEastAsia" w:eastAsiaTheme="minorEastAsia" w:hAnsiTheme="minorEastAsia" w:hint="eastAsia"/>
          <w:color w:val="auto"/>
        </w:rPr>
        <w:t>于2022年3月23日披露《兴业银行股份有限公司</w:t>
      </w:r>
      <w:r w:rsidR="00F87155" w:rsidRPr="0000040C">
        <w:rPr>
          <w:rFonts w:asciiTheme="minorEastAsia" w:eastAsiaTheme="minorEastAsia" w:hAnsiTheme="minorEastAsia" w:hint="eastAsia"/>
        </w:rPr>
        <w:t>关于股东权益变动的进展公告</w:t>
      </w:r>
      <w:r w:rsidR="00F87155" w:rsidRPr="0000040C">
        <w:rPr>
          <w:rFonts w:asciiTheme="minorEastAsia" w:eastAsiaTheme="minorEastAsia" w:hAnsiTheme="minorEastAsia" w:hint="eastAsia"/>
          <w:color w:val="auto"/>
        </w:rPr>
        <w:t>》</w:t>
      </w:r>
      <w:r w:rsidR="00F87155" w:rsidRPr="0000040C">
        <w:rPr>
          <w:rFonts w:asciiTheme="minorEastAsia" w:eastAsiaTheme="minorEastAsia" w:hAnsiTheme="minorEastAsia" w:hint="eastAsia"/>
        </w:rPr>
        <w:t>《兴业银行股份有限公司简式权益变动报告书》（福建省财政厅）和《兴业银行股份有限公司详式权益变动报告书》（福建金投）</w:t>
      </w:r>
      <w:r w:rsidR="00D512DE">
        <w:rPr>
          <w:rFonts w:asciiTheme="minorEastAsia" w:eastAsiaTheme="minorEastAsia" w:hAnsiTheme="minorEastAsia" w:hint="eastAsia"/>
        </w:rPr>
        <w:t>，</w:t>
      </w:r>
      <w:r w:rsidR="00F87155" w:rsidRPr="0000040C">
        <w:rPr>
          <w:rFonts w:asciiTheme="minorEastAsia" w:eastAsiaTheme="minorEastAsia" w:hAnsiTheme="minorEastAsia" w:hint="eastAsia"/>
          <w:color w:val="auto"/>
        </w:rPr>
        <w:t>于2022年8月26日披露《兴业银行股份有限公司</w:t>
      </w:r>
      <w:r w:rsidR="00F87155" w:rsidRPr="0000040C">
        <w:rPr>
          <w:rFonts w:asciiTheme="minorEastAsia" w:eastAsiaTheme="minorEastAsia" w:hAnsiTheme="minorEastAsia" w:hint="eastAsia"/>
        </w:rPr>
        <w:t>关于股东股份划转获中国银保监会批准的公告</w:t>
      </w:r>
      <w:r w:rsidR="00F87155" w:rsidRPr="0000040C">
        <w:rPr>
          <w:rFonts w:asciiTheme="minorEastAsia" w:eastAsiaTheme="minorEastAsia" w:hAnsiTheme="minorEastAsia" w:hint="eastAsia"/>
          <w:color w:val="auto"/>
        </w:rPr>
        <w:t>》。</w:t>
      </w:r>
    </w:p>
    <w:p w:rsidR="00A933A0" w:rsidRDefault="00A933A0" w:rsidP="00A933A0">
      <w:pPr>
        <w:pStyle w:val="Default"/>
        <w:spacing w:line="500" w:lineRule="exact"/>
        <w:ind w:firstLineChars="200" w:firstLine="480"/>
        <w:jc w:val="both"/>
        <w:rPr>
          <w:rFonts w:asciiTheme="minorEastAsia" w:eastAsiaTheme="minorEastAsia" w:hAnsiTheme="minorEastAsia"/>
          <w:color w:val="auto"/>
        </w:rPr>
      </w:pPr>
    </w:p>
    <w:p w:rsidR="008D7CAA" w:rsidRPr="0000040C" w:rsidRDefault="0000040C" w:rsidP="00A933A0">
      <w:pPr>
        <w:pStyle w:val="Default"/>
        <w:spacing w:beforeLines="50" w:before="156" w:afterLines="50" w:after="156" w:line="500" w:lineRule="exact"/>
        <w:ind w:rightChars="50" w:right="105" w:firstLineChars="200" w:firstLine="482"/>
        <w:jc w:val="both"/>
        <w:rPr>
          <w:rFonts w:asciiTheme="minorEastAsia" w:eastAsiaTheme="minorEastAsia" w:hAnsiTheme="minorEastAsia"/>
          <w:b/>
          <w:color w:val="auto"/>
        </w:rPr>
      </w:pPr>
      <w:r>
        <w:rPr>
          <w:rFonts w:asciiTheme="minorEastAsia" w:eastAsiaTheme="minorEastAsia" w:hAnsiTheme="minorEastAsia" w:hint="eastAsia"/>
          <w:b/>
          <w:color w:val="auto"/>
        </w:rPr>
        <w:lastRenderedPageBreak/>
        <w:t>二、</w:t>
      </w:r>
      <w:r w:rsidR="008D7CAA" w:rsidRPr="0000040C">
        <w:rPr>
          <w:rFonts w:asciiTheme="minorEastAsia" w:eastAsiaTheme="minorEastAsia" w:hAnsiTheme="minorEastAsia" w:hint="eastAsia"/>
          <w:b/>
          <w:color w:val="auto"/>
        </w:rPr>
        <w:t>股份划转</w:t>
      </w:r>
      <w:r w:rsidRPr="0000040C">
        <w:rPr>
          <w:rFonts w:asciiTheme="minorEastAsia" w:eastAsiaTheme="minorEastAsia" w:hAnsiTheme="minorEastAsia" w:hint="eastAsia"/>
          <w:b/>
          <w:color w:val="auto"/>
        </w:rPr>
        <w:t>过户</w:t>
      </w:r>
      <w:r w:rsidR="008D7CAA" w:rsidRPr="0000040C">
        <w:rPr>
          <w:rFonts w:asciiTheme="minorEastAsia" w:eastAsiaTheme="minorEastAsia" w:hAnsiTheme="minorEastAsia" w:hint="eastAsia"/>
          <w:b/>
          <w:color w:val="auto"/>
        </w:rPr>
        <w:t>后股</w:t>
      </w:r>
      <w:r w:rsidRPr="0000040C">
        <w:rPr>
          <w:rFonts w:asciiTheme="minorEastAsia" w:eastAsiaTheme="minorEastAsia" w:hAnsiTheme="minorEastAsia" w:hint="eastAsia"/>
          <w:b/>
          <w:color w:val="auto"/>
        </w:rPr>
        <w:t>东持股</w:t>
      </w:r>
      <w:r w:rsidR="008D7CAA" w:rsidRPr="0000040C">
        <w:rPr>
          <w:rFonts w:asciiTheme="minorEastAsia" w:eastAsiaTheme="minorEastAsia" w:hAnsiTheme="minorEastAsia" w:hint="eastAsia"/>
          <w:b/>
          <w:color w:val="auto"/>
        </w:rPr>
        <w:t>情况</w:t>
      </w:r>
    </w:p>
    <w:p w:rsidR="00935800" w:rsidRPr="00935800" w:rsidRDefault="00935800" w:rsidP="00935800">
      <w:pPr>
        <w:pStyle w:val="Default"/>
        <w:spacing w:line="500" w:lineRule="exact"/>
        <w:ind w:firstLineChars="200" w:firstLine="480"/>
        <w:jc w:val="both"/>
        <w:rPr>
          <w:rFonts w:asciiTheme="minorEastAsia" w:eastAsiaTheme="minorEastAsia" w:hAnsiTheme="minorEastAsia"/>
          <w:color w:val="auto"/>
        </w:rPr>
      </w:pPr>
      <w:r w:rsidRPr="00935800">
        <w:rPr>
          <w:rFonts w:asciiTheme="minorEastAsia" w:eastAsiaTheme="minorEastAsia" w:hAnsiTheme="minorEastAsia" w:hint="eastAsia"/>
          <w:color w:val="auto"/>
        </w:rPr>
        <w:t>截至</w:t>
      </w:r>
      <w:r w:rsidRPr="00935800">
        <w:rPr>
          <w:rFonts w:asciiTheme="minorEastAsia" w:eastAsiaTheme="minorEastAsia" w:hAnsiTheme="minorEastAsia"/>
          <w:color w:val="auto"/>
        </w:rPr>
        <w:t>9</w:t>
      </w:r>
      <w:r w:rsidRPr="00935800">
        <w:rPr>
          <w:rFonts w:asciiTheme="minorEastAsia" w:eastAsiaTheme="minorEastAsia" w:hAnsiTheme="minorEastAsia" w:hint="eastAsia"/>
          <w:color w:val="auto"/>
        </w:rPr>
        <w:t>月</w:t>
      </w:r>
      <w:r w:rsidRPr="00935800">
        <w:rPr>
          <w:rFonts w:asciiTheme="minorEastAsia" w:eastAsiaTheme="minorEastAsia" w:hAnsiTheme="minorEastAsia"/>
          <w:color w:val="auto"/>
        </w:rPr>
        <w:t>29</w:t>
      </w:r>
      <w:r w:rsidRPr="00935800">
        <w:rPr>
          <w:rFonts w:asciiTheme="minorEastAsia" w:eastAsiaTheme="minorEastAsia" w:hAnsiTheme="minorEastAsia" w:hint="eastAsia"/>
          <w:color w:val="auto"/>
        </w:rPr>
        <w:t>日，本公司普通股总股本</w:t>
      </w:r>
      <w:r w:rsidRPr="00935800">
        <w:rPr>
          <w:rFonts w:asciiTheme="minorEastAsia" w:eastAsiaTheme="minorEastAsia" w:hAnsiTheme="minorEastAsia"/>
          <w:color w:val="auto"/>
        </w:rPr>
        <w:t>20,774,243,773</w:t>
      </w:r>
      <w:r w:rsidRPr="00935800">
        <w:rPr>
          <w:rFonts w:asciiTheme="minorEastAsia" w:eastAsiaTheme="minorEastAsia" w:hAnsiTheme="minorEastAsia" w:hint="eastAsia"/>
          <w:color w:val="auto"/>
        </w:rPr>
        <w:t>股，福建省财政厅与其全额出资设立的福建金投合计持有本公司普通股股份</w:t>
      </w:r>
      <w:r w:rsidRPr="00935800">
        <w:rPr>
          <w:rFonts w:asciiTheme="minorEastAsia" w:eastAsiaTheme="minorEastAsia" w:hAnsiTheme="minorEastAsia"/>
          <w:color w:val="auto"/>
        </w:rPr>
        <w:t>3,927,962,439股</w:t>
      </w:r>
      <w:r w:rsidRPr="00935800">
        <w:rPr>
          <w:rFonts w:asciiTheme="minorEastAsia" w:eastAsiaTheme="minorEastAsia" w:hAnsiTheme="minorEastAsia" w:hint="eastAsia"/>
          <w:color w:val="auto"/>
        </w:rPr>
        <w:t>，占本公司总股本的</w:t>
      </w:r>
      <w:r w:rsidRPr="00935800">
        <w:rPr>
          <w:rFonts w:asciiTheme="minorEastAsia" w:eastAsiaTheme="minorEastAsia" w:hAnsiTheme="minorEastAsia"/>
          <w:color w:val="auto"/>
        </w:rPr>
        <w:t>18.91%，为本公司合并持股第一大股东。</w:t>
      </w:r>
      <w:r w:rsidRPr="00935800">
        <w:rPr>
          <w:rFonts w:asciiTheme="minorEastAsia" w:eastAsiaTheme="minorEastAsia" w:hAnsiTheme="minorEastAsia" w:hint="eastAsia"/>
          <w:color w:val="auto"/>
        </w:rPr>
        <w:t>福建省财政厅直接持有股份</w:t>
      </w:r>
      <w:r w:rsidRPr="00935800">
        <w:rPr>
          <w:rFonts w:asciiTheme="minorEastAsia" w:eastAsiaTheme="minorEastAsia" w:hAnsiTheme="minorEastAsia"/>
          <w:color w:val="auto"/>
        </w:rPr>
        <w:t>416,043,814股</w:t>
      </w:r>
      <w:r w:rsidRPr="00935800">
        <w:rPr>
          <w:rFonts w:asciiTheme="minorEastAsia" w:eastAsiaTheme="minorEastAsia" w:hAnsiTheme="minorEastAsia" w:hint="eastAsia"/>
          <w:color w:val="auto"/>
        </w:rPr>
        <w:t>，占比</w:t>
      </w:r>
      <w:r w:rsidRPr="00935800">
        <w:rPr>
          <w:rFonts w:asciiTheme="minorEastAsia" w:eastAsiaTheme="minorEastAsia" w:hAnsiTheme="minorEastAsia"/>
          <w:color w:val="auto"/>
        </w:rPr>
        <w:t>2%，其中</w:t>
      </w:r>
      <w:r w:rsidR="00A3451F">
        <w:rPr>
          <w:rFonts w:asciiTheme="minorEastAsia" w:eastAsiaTheme="minorEastAsia" w:hAnsiTheme="minorEastAsia" w:hint="eastAsia"/>
          <w:color w:val="auto"/>
        </w:rPr>
        <w:t>：</w:t>
      </w:r>
      <w:r w:rsidRPr="00935800">
        <w:rPr>
          <w:rFonts w:asciiTheme="minorEastAsia" w:eastAsiaTheme="minorEastAsia" w:hAnsiTheme="minorEastAsia" w:hint="eastAsia"/>
          <w:color w:val="auto"/>
        </w:rPr>
        <w:t>普通账户持有</w:t>
      </w:r>
      <w:r w:rsidRPr="00935800">
        <w:rPr>
          <w:rFonts w:asciiTheme="minorEastAsia" w:eastAsiaTheme="minorEastAsia" w:hAnsiTheme="minorEastAsia"/>
          <w:color w:val="auto"/>
        </w:rPr>
        <w:t>12,781,400股</w:t>
      </w:r>
      <w:r w:rsidRPr="00935800">
        <w:rPr>
          <w:rFonts w:asciiTheme="minorEastAsia" w:eastAsiaTheme="minorEastAsia" w:hAnsiTheme="minorEastAsia" w:hint="eastAsia"/>
          <w:color w:val="auto"/>
        </w:rPr>
        <w:t>，社保划转专户持有</w:t>
      </w:r>
      <w:r w:rsidRPr="00935800">
        <w:rPr>
          <w:rFonts w:asciiTheme="minorEastAsia" w:eastAsiaTheme="minorEastAsia" w:hAnsiTheme="minorEastAsia"/>
          <w:color w:val="auto"/>
        </w:rPr>
        <w:t>403,262,414股</w:t>
      </w:r>
      <w:r w:rsidRPr="00935800">
        <w:rPr>
          <w:rFonts w:asciiTheme="minorEastAsia" w:eastAsiaTheme="minorEastAsia" w:hAnsiTheme="minorEastAsia" w:hint="eastAsia"/>
          <w:color w:val="auto"/>
        </w:rPr>
        <w:t>；福建省财政厅通过福建金投持有股份</w:t>
      </w:r>
      <w:r w:rsidRPr="00935800">
        <w:rPr>
          <w:rFonts w:asciiTheme="minorEastAsia" w:eastAsiaTheme="minorEastAsia" w:hAnsiTheme="minorEastAsia"/>
          <w:color w:val="auto"/>
        </w:rPr>
        <w:t>3,511,918,625股</w:t>
      </w:r>
      <w:r w:rsidRPr="00935800">
        <w:rPr>
          <w:rFonts w:asciiTheme="minorEastAsia" w:eastAsiaTheme="minorEastAsia" w:hAnsiTheme="minorEastAsia" w:hint="eastAsia"/>
          <w:color w:val="auto"/>
        </w:rPr>
        <w:t>，占比</w:t>
      </w:r>
      <w:r w:rsidRPr="00935800">
        <w:rPr>
          <w:rFonts w:asciiTheme="minorEastAsia" w:eastAsiaTheme="minorEastAsia" w:hAnsiTheme="minorEastAsia"/>
          <w:color w:val="auto"/>
        </w:rPr>
        <w:t>16.91%</w:t>
      </w:r>
      <w:r w:rsidRPr="00935800">
        <w:rPr>
          <w:rFonts w:asciiTheme="minorEastAsia" w:eastAsiaTheme="minorEastAsia" w:hAnsiTheme="minorEastAsia" w:hint="eastAsia"/>
          <w:color w:val="auto"/>
        </w:rPr>
        <w:t>。</w:t>
      </w:r>
      <w:bookmarkStart w:id="0" w:name="_GoBack"/>
      <w:bookmarkEnd w:id="0"/>
    </w:p>
    <w:p w:rsidR="00074267" w:rsidRPr="001B79CA" w:rsidRDefault="00C87B3E" w:rsidP="00A933A0">
      <w:pPr>
        <w:pStyle w:val="Default"/>
        <w:spacing w:line="500" w:lineRule="exact"/>
        <w:ind w:firstLineChars="200" w:firstLine="480"/>
        <w:jc w:val="both"/>
        <w:rPr>
          <w:rFonts w:asciiTheme="minorEastAsia" w:eastAsiaTheme="minorEastAsia" w:hAnsiTheme="minorEastAsia" w:cs="Times New Roman"/>
          <w:kern w:val="2"/>
        </w:rPr>
      </w:pPr>
      <w:r w:rsidRPr="001B79CA">
        <w:rPr>
          <w:rFonts w:asciiTheme="minorEastAsia" w:eastAsiaTheme="minorEastAsia" w:hAnsiTheme="minorEastAsia" w:cs="Times New Roman" w:hint="eastAsia"/>
          <w:kern w:val="2"/>
        </w:rPr>
        <w:t>特此公告。</w:t>
      </w:r>
    </w:p>
    <w:p w:rsidR="00074267" w:rsidRPr="001B79CA" w:rsidRDefault="00074267" w:rsidP="00A933A0">
      <w:pPr>
        <w:pStyle w:val="Default"/>
        <w:spacing w:line="500" w:lineRule="exact"/>
        <w:ind w:firstLine="200"/>
        <w:jc w:val="both"/>
        <w:rPr>
          <w:rFonts w:asciiTheme="minorEastAsia" w:eastAsiaTheme="minorEastAsia" w:hAnsiTheme="minorEastAsia" w:cs="Times New Roman"/>
          <w:kern w:val="2"/>
        </w:rPr>
      </w:pPr>
    </w:p>
    <w:p w:rsidR="00074267" w:rsidRPr="001B79CA" w:rsidRDefault="00C87B3E" w:rsidP="00A933A0">
      <w:pPr>
        <w:pStyle w:val="Default"/>
        <w:spacing w:line="500" w:lineRule="exact"/>
        <w:ind w:firstLine="200"/>
        <w:jc w:val="both"/>
        <w:rPr>
          <w:rFonts w:asciiTheme="minorEastAsia" w:eastAsiaTheme="minorEastAsia" w:hAnsiTheme="minorEastAsia" w:cs="Times New Roman"/>
          <w:kern w:val="2"/>
        </w:rPr>
      </w:pPr>
      <w:r w:rsidRPr="001B79CA">
        <w:rPr>
          <w:rFonts w:asciiTheme="minorEastAsia" w:eastAsiaTheme="minorEastAsia" w:hAnsiTheme="minorEastAsia" w:cs="Times New Roman" w:hint="eastAsia"/>
          <w:kern w:val="2"/>
        </w:rPr>
        <w:t xml:space="preserve">                                         兴业银行股份有限公司董事会</w:t>
      </w:r>
      <w:r w:rsidRPr="001B79CA">
        <w:rPr>
          <w:rFonts w:asciiTheme="minorEastAsia" w:eastAsiaTheme="minorEastAsia" w:hAnsiTheme="minorEastAsia" w:cs="Times New Roman"/>
          <w:kern w:val="2"/>
        </w:rPr>
        <w:t xml:space="preserve"> </w:t>
      </w:r>
    </w:p>
    <w:p w:rsidR="00074267" w:rsidRPr="0000040C" w:rsidRDefault="00C87B3E" w:rsidP="00B7372C">
      <w:pPr>
        <w:pStyle w:val="Default"/>
        <w:spacing w:line="500" w:lineRule="exact"/>
        <w:ind w:firstLineChars="2500" w:firstLine="6000"/>
        <w:jc w:val="both"/>
        <w:rPr>
          <w:rFonts w:asciiTheme="minorEastAsia" w:eastAsiaTheme="minorEastAsia" w:hAnsiTheme="minorEastAsia" w:cs="Times New Roman"/>
          <w:kern w:val="2"/>
        </w:rPr>
      </w:pPr>
      <w:r w:rsidRPr="001B79CA">
        <w:rPr>
          <w:rFonts w:asciiTheme="minorEastAsia" w:eastAsiaTheme="minorEastAsia" w:hAnsiTheme="minorEastAsia" w:cs="Times New Roman"/>
          <w:kern w:val="2"/>
        </w:rPr>
        <w:t>20</w:t>
      </w:r>
      <w:r w:rsidRPr="001B79CA">
        <w:rPr>
          <w:rFonts w:asciiTheme="minorEastAsia" w:eastAsiaTheme="minorEastAsia" w:hAnsiTheme="minorEastAsia" w:cs="Times New Roman" w:hint="eastAsia"/>
          <w:kern w:val="2"/>
        </w:rPr>
        <w:t>22年</w:t>
      </w:r>
      <w:r w:rsidR="00FA5CAA" w:rsidRPr="001B79CA">
        <w:rPr>
          <w:rFonts w:asciiTheme="minorEastAsia" w:eastAsiaTheme="minorEastAsia" w:hAnsiTheme="minorEastAsia" w:cs="Times New Roman" w:hint="eastAsia"/>
          <w:kern w:val="2"/>
        </w:rPr>
        <w:t>9</w:t>
      </w:r>
      <w:r w:rsidRPr="001B79CA">
        <w:rPr>
          <w:rFonts w:asciiTheme="minorEastAsia" w:eastAsiaTheme="minorEastAsia" w:hAnsiTheme="minorEastAsia" w:cs="Times New Roman" w:hint="eastAsia"/>
          <w:kern w:val="2"/>
        </w:rPr>
        <w:t>月</w:t>
      </w:r>
      <w:r w:rsidR="001B79CA" w:rsidRPr="001B79CA">
        <w:rPr>
          <w:rFonts w:asciiTheme="minorEastAsia" w:eastAsiaTheme="minorEastAsia" w:hAnsiTheme="minorEastAsia" w:cs="Times New Roman" w:hint="eastAsia"/>
          <w:kern w:val="2"/>
        </w:rPr>
        <w:t>30</w:t>
      </w:r>
      <w:r w:rsidRPr="001B79CA">
        <w:rPr>
          <w:rFonts w:asciiTheme="minorEastAsia" w:eastAsiaTheme="minorEastAsia" w:hAnsiTheme="minorEastAsia" w:cs="Times New Roman" w:hint="eastAsia"/>
          <w:kern w:val="2"/>
        </w:rPr>
        <w:t>日</w:t>
      </w:r>
    </w:p>
    <w:sectPr w:rsidR="00074267" w:rsidRPr="0000040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5F" w:rsidRDefault="00C6635F">
      <w:r>
        <w:separator/>
      </w:r>
    </w:p>
  </w:endnote>
  <w:endnote w:type="continuationSeparator" w:id="0">
    <w:p w:rsidR="00C6635F" w:rsidRDefault="00C6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042301"/>
      <w:docPartObj>
        <w:docPartGallery w:val="Page Numbers (Bottom of Page)"/>
        <w:docPartUnique/>
      </w:docPartObj>
    </w:sdtPr>
    <w:sdtEndPr/>
    <w:sdtContent>
      <w:p w:rsidR="00A933A0" w:rsidRDefault="00A933A0">
        <w:pPr>
          <w:pStyle w:val="a5"/>
          <w:jc w:val="center"/>
        </w:pPr>
        <w:r>
          <w:fldChar w:fldCharType="begin"/>
        </w:r>
        <w:r>
          <w:instrText>PAGE   \* MERGEFORMAT</w:instrText>
        </w:r>
        <w:r>
          <w:fldChar w:fldCharType="separate"/>
        </w:r>
        <w:r w:rsidR="00A3451F" w:rsidRPr="00A3451F">
          <w:rPr>
            <w:noProof/>
            <w:lang w:val="zh-CN"/>
          </w:rPr>
          <w:t>2</w:t>
        </w:r>
        <w:r>
          <w:fldChar w:fldCharType="end"/>
        </w:r>
      </w:p>
    </w:sdtContent>
  </w:sdt>
  <w:p w:rsidR="00074267" w:rsidRDefault="000742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5F" w:rsidRDefault="00C6635F">
      <w:r>
        <w:separator/>
      </w:r>
    </w:p>
  </w:footnote>
  <w:footnote w:type="continuationSeparator" w:id="0">
    <w:p w:rsidR="00C6635F" w:rsidRDefault="00C66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805"/>
    <w:multiLevelType w:val="hybridMultilevel"/>
    <w:tmpl w:val="C82E1CB2"/>
    <w:lvl w:ilvl="0" w:tplc="2B944EF0">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B966F9E"/>
    <w:multiLevelType w:val="hybridMultilevel"/>
    <w:tmpl w:val="7E54CF6E"/>
    <w:lvl w:ilvl="0" w:tplc="018001F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0C"/>
    <w:rsid w:val="00004A26"/>
    <w:rsid w:val="000119AC"/>
    <w:rsid w:val="0002434D"/>
    <w:rsid w:val="00030027"/>
    <w:rsid w:val="0003744C"/>
    <w:rsid w:val="000468B0"/>
    <w:rsid w:val="00055532"/>
    <w:rsid w:val="00066A4B"/>
    <w:rsid w:val="00074267"/>
    <w:rsid w:val="00074D03"/>
    <w:rsid w:val="00097C96"/>
    <w:rsid w:val="000B4746"/>
    <w:rsid w:val="000E3F47"/>
    <w:rsid w:val="0010193E"/>
    <w:rsid w:val="00111CB8"/>
    <w:rsid w:val="001404C3"/>
    <w:rsid w:val="00160873"/>
    <w:rsid w:val="001663DC"/>
    <w:rsid w:val="001725B2"/>
    <w:rsid w:val="00172A27"/>
    <w:rsid w:val="001B79CA"/>
    <w:rsid w:val="001C2006"/>
    <w:rsid w:val="001D3183"/>
    <w:rsid w:val="002276C4"/>
    <w:rsid w:val="00231BA6"/>
    <w:rsid w:val="00231BEA"/>
    <w:rsid w:val="00242084"/>
    <w:rsid w:val="00255C97"/>
    <w:rsid w:val="00264552"/>
    <w:rsid w:val="00272A6D"/>
    <w:rsid w:val="00280A00"/>
    <w:rsid w:val="00290E1F"/>
    <w:rsid w:val="002D44C5"/>
    <w:rsid w:val="002E2758"/>
    <w:rsid w:val="002E41FC"/>
    <w:rsid w:val="002E761C"/>
    <w:rsid w:val="0032754F"/>
    <w:rsid w:val="0033234A"/>
    <w:rsid w:val="0036325C"/>
    <w:rsid w:val="00363735"/>
    <w:rsid w:val="003750FA"/>
    <w:rsid w:val="00385A88"/>
    <w:rsid w:val="003A1E05"/>
    <w:rsid w:val="003B0A84"/>
    <w:rsid w:val="003B2CD2"/>
    <w:rsid w:val="003B6D09"/>
    <w:rsid w:val="003E14BA"/>
    <w:rsid w:val="003E79CF"/>
    <w:rsid w:val="003E7CDF"/>
    <w:rsid w:val="00403288"/>
    <w:rsid w:val="00417352"/>
    <w:rsid w:val="004A4624"/>
    <w:rsid w:val="004B09DB"/>
    <w:rsid w:val="004C0D70"/>
    <w:rsid w:val="004D1046"/>
    <w:rsid w:val="004E3F9C"/>
    <w:rsid w:val="00510019"/>
    <w:rsid w:val="00514206"/>
    <w:rsid w:val="0051581C"/>
    <w:rsid w:val="005171FC"/>
    <w:rsid w:val="00536A73"/>
    <w:rsid w:val="00570B32"/>
    <w:rsid w:val="00593BE2"/>
    <w:rsid w:val="005C70C4"/>
    <w:rsid w:val="005D15D9"/>
    <w:rsid w:val="005E4D2C"/>
    <w:rsid w:val="005E556A"/>
    <w:rsid w:val="005E56E7"/>
    <w:rsid w:val="00612E89"/>
    <w:rsid w:val="00614053"/>
    <w:rsid w:val="00623F75"/>
    <w:rsid w:val="00642394"/>
    <w:rsid w:val="0065129C"/>
    <w:rsid w:val="006760E8"/>
    <w:rsid w:val="006A2189"/>
    <w:rsid w:val="006C11D7"/>
    <w:rsid w:val="006C3143"/>
    <w:rsid w:val="006C5236"/>
    <w:rsid w:val="006E0102"/>
    <w:rsid w:val="00705281"/>
    <w:rsid w:val="00712F4A"/>
    <w:rsid w:val="00716A8C"/>
    <w:rsid w:val="007411F2"/>
    <w:rsid w:val="00743B0F"/>
    <w:rsid w:val="0074436D"/>
    <w:rsid w:val="00744527"/>
    <w:rsid w:val="00747F21"/>
    <w:rsid w:val="00774870"/>
    <w:rsid w:val="007829F9"/>
    <w:rsid w:val="007C6FDA"/>
    <w:rsid w:val="007D5B74"/>
    <w:rsid w:val="00814E68"/>
    <w:rsid w:val="00815E46"/>
    <w:rsid w:val="008308D6"/>
    <w:rsid w:val="00847C7B"/>
    <w:rsid w:val="008506C5"/>
    <w:rsid w:val="008513A9"/>
    <w:rsid w:val="00871ECE"/>
    <w:rsid w:val="008A0AFB"/>
    <w:rsid w:val="008A79CE"/>
    <w:rsid w:val="008B04A1"/>
    <w:rsid w:val="008B513D"/>
    <w:rsid w:val="008B5914"/>
    <w:rsid w:val="008C6F8D"/>
    <w:rsid w:val="008D30B2"/>
    <w:rsid w:val="008D7CAA"/>
    <w:rsid w:val="00905083"/>
    <w:rsid w:val="0090688A"/>
    <w:rsid w:val="00935800"/>
    <w:rsid w:val="0094160E"/>
    <w:rsid w:val="009416E3"/>
    <w:rsid w:val="0095797E"/>
    <w:rsid w:val="009C71EB"/>
    <w:rsid w:val="009E3B1B"/>
    <w:rsid w:val="009F2FE5"/>
    <w:rsid w:val="009F3C64"/>
    <w:rsid w:val="009F5BDA"/>
    <w:rsid w:val="00A01F86"/>
    <w:rsid w:val="00A1176A"/>
    <w:rsid w:val="00A16E63"/>
    <w:rsid w:val="00A3451F"/>
    <w:rsid w:val="00A50B64"/>
    <w:rsid w:val="00A62E26"/>
    <w:rsid w:val="00A83B50"/>
    <w:rsid w:val="00A91F0B"/>
    <w:rsid w:val="00A933A0"/>
    <w:rsid w:val="00A9395B"/>
    <w:rsid w:val="00A94157"/>
    <w:rsid w:val="00AA3BB1"/>
    <w:rsid w:val="00AC3867"/>
    <w:rsid w:val="00AF282E"/>
    <w:rsid w:val="00AF6A68"/>
    <w:rsid w:val="00B35437"/>
    <w:rsid w:val="00B52CBD"/>
    <w:rsid w:val="00B643A5"/>
    <w:rsid w:val="00B6711E"/>
    <w:rsid w:val="00B7372C"/>
    <w:rsid w:val="00B84611"/>
    <w:rsid w:val="00BA4E01"/>
    <w:rsid w:val="00BA4FE7"/>
    <w:rsid w:val="00BA55A5"/>
    <w:rsid w:val="00BC0F4D"/>
    <w:rsid w:val="00BC2C40"/>
    <w:rsid w:val="00BD70F6"/>
    <w:rsid w:val="00BD7DD8"/>
    <w:rsid w:val="00BD7E4C"/>
    <w:rsid w:val="00BE06E3"/>
    <w:rsid w:val="00BF3F51"/>
    <w:rsid w:val="00C102EC"/>
    <w:rsid w:val="00C2063D"/>
    <w:rsid w:val="00C550A4"/>
    <w:rsid w:val="00C6635F"/>
    <w:rsid w:val="00C74FED"/>
    <w:rsid w:val="00C75679"/>
    <w:rsid w:val="00C75C33"/>
    <w:rsid w:val="00C86DF9"/>
    <w:rsid w:val="00C87B3E"/>
    <w:rsid w:val="00C903C3"/>
    <w:rsid w:val="00C9046D"/>
    <w:rsid w:val="00C93372"/>
    <w:rsid w:val="00C95FA3"/>
    <w:rsid w:val="00CA039E"/>
    <w:rsid w:val="00CB3017"/>
    <w:rsid w:val="00CB7050"/>
    <w:rsid w:val="00D512DE"/>
    <w:rsid w:val="00D671BA"/>
    <w:rsid w:val="00D9715E"/>
    <w:rsid w:val="00DD1A89"/>
    <w:rsid w:val="00DD45DC"/>
    <w:rsid w:val="00DE5DA5"/>
    <w:rsid w:val="00E12988"/>
    <w:rsid w:val="00E1387A"/>
    <w:rsid w:val="00E1763D"/>
    <w:rsid w:val="00E36841"/>
    <w:rsid w:val="00E420CD"/>
    <w:rsid w:val="00E7469E"/>
    <w:rsid w:val="00E81B6E"/>
    <w:rsid w:val="00EA48F1"/>
    <w:rsid w:val="00EA745A"/>
    <w:rsid w:val="00EB30A4"/>
    <w:rsid w:val="00EC11A9"/>
    <w:rsid w:val="00EE5ACE"/>
    <w:rsid w:val="00EF3336"/>
    <w:rsid w:val="00EF5704"/>
    <w:rsid w:val="00F55C2F"/>
    <w:rsid w:val="00F67B86"/>
    <w:rsid w:val="00F84ADF"/>
    <w:rsid w:val="00F87155"/>
    <w:rsid w:val="00FA0E96"/>
    <w:rsid w:val="00FA5CAA"/>
    <w:rsid w:val="00FA7FAF"/>
    <w:rsid w:val="00FB4061"/>
    <w:rsid w:val="00FC2F72"/>
    <w:rsid w:val="00FD1CCD"/>
    <w:rsid w:val="00FF6C86"/>
    <w:rsid w:val="07E4653C"/>
    <w:rsid w:val="122511FB"/>
    <w:rsid w:val="1F3A207D"/>
    <w:rsid w:val="39DC3E01"/>
    <w:rsid w:val="3FB738AB"/>
    <w:rsid w:val="54D23459"/>
    <w:rsid w:val="5B4C4811"/>
    <w:rsid w:val="60AC1290"/>
    <w:rsid w:val="6F3C329A"/>
    <w:rsid w:val="79B5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rPr>
      <w:b/>
      <w:bCs/>
    </w:rPr>
  </w:style>
  <w:style w:type="character" w:styleId="a9">
    <w:name w:val="annotation reference"/>
    <w:basedOn w:val="a0"/>
    <w:uiPriority w:val="99"/>
    <w:semiHidden/>
    <w:unhideWhenUsed/>
    <w:rPr>
      <w:sz w:val="21"/>
      <w:szCs w:val="21"/>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paragraph" w:styleId="aa">
    <w:name w:val="List Paragraph"/>
    <w:basedOn w:val="a"/>
    <w:uiPriority w:val="99"/>
    <w:unhideWhenUsed/>
    <w:rsid w:val="008D7C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rPr>
      <w:b/>
      <w:bCs/>
    </w:rPr>
  </w:style>
  <w:style w:type="character" w:styleId="a9">
    <w:name w:val="annotation reference"/>
    <w:basedOn w:val="a0"/>
    <w:uiPriority w:val="99"/>
    <w:semiHidden/>
    <w:unhideWhenUsed/>
    <w:rPr>
      <w:sz w:val="21"/>
      <w:szCs w:val="21"/>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paragraph" w:styleId="aa">
    <w:name w:val="List Paragraph"/>
    <w:basedOn w:val="a"/>
    <w:uiPriority w:val="99"/>
    <w:unhideWhenUsed/>
    <w:rsid w:val="008D7C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162</Words>
  <Characters>926</Characters>
  <Application>Microsoft Office Word</Application>
  <DocSecurity>0</DocSecurity>
  <Lines>7</Lines>
  <Paragraphs>2</Paragraphs>
  <ScaleCrop>false</ScaleCrop>
  <Company>CIB</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魏玮</cp:lastModifiedBy>
  <cp:revision>50</cp:revision>
  <cp:lastPrinted>2022-09-30T04:39:00Z</cp:lastPrinted>
  <dcterms:created xsi:type="dcterms:W3CDTF">2021-10-22T07:07:00Z</dcterms:created>
  <dcterms:modified xsi:type="dcterms:W3CDTF">2022-09-30T07:43:00Z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