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pacing w:line="460" w:lineRule="exact"/>
        <w:rPr>
          <w:rFonts w:ascii="宋体" w:hAnsi="宋体"/>
          <w:b/>
          <w:szCs w:val="21"/>
        </w:rPr>
      </w:pPr>
      <w:r>
        <w:rPr>
          <w:rFonts w:hint="eastAsia" w:ascii="宋体" w:hAnsi="宋体"/>
          <w:b/>
          <w:szCs w:val="21"/>
        </w:rPr>
        <w:t>公告编号：临2022-014</w:t>
      </w:r>
    </w:p>
    <w:p>
      <w:pPr>
        <w:spacing w:line="460" w:lineRule="exact"/>
        <w:rPr>
          <w:rFonts w:ascii="宋体" w:hAnsi="宋体"/>
          <w:b/>
          <w:szCs w:val="21"/>
        </w:rPr>
      </w:pPr>
      <w:r>
        <w:rPr>
          <w:rFonts w:hint="eastAsia" w:ascii="宋体" w:hAnsi="宋体"/>
          <w:b/>
          <w:szCs w:val="21"/>
        </w:rPr>
        <w:t xml:space="preserve">A股代码： 601166             </w:t>
      </w:r>
      <w:r>
        <w:rPr>
          <w:rFonts w:ascii="宋体" w:hAnsi="宋体"/>
          <w:b/>
          <w:szCs w:val="21"/>
        </w:rPr>
        <w:t xml:space="preserve"> </w:t>
      </w:r>
      <w:r>
        <w:rPr>
          <w:rFonts w:hint="eastAsia" w:ascii="宋体" w:hAnsi="宋体"/>
          <w:b/>
          <w:szCs w:val="21"/>
        </w:rPr>
        <w:t xml:space="preserve">         A股简称：兴业银行        </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p>
    <w:p>
      <w:pPr>
        <w:spacing w:line="460" w:lineRule="exact"/>
        <w:jc w:val="left"/>
        <w:rPr>
          <w:rFonts w:ascii="宋体" w:hAnsi="宋体"/>
          <w:b/>
          <w:szCs w:val="21"/>
        </w:rPr>
      </w:pPr>
      <w:r>
        <w:rPr>
          <w:rFonts w:hint="eastAsia" w:ascii="宋体" w:hAnsi="宋体"/>
          <w:b/>
          <w:szCs w:val="21"/>
        </w:rPr>
        <w:t>优先股代码：360005、360012、360032     优先股简称：兴业优1、兴业优2、兴业优3</w:t>
      </w:r>
    </w:p>
    <w:p>
      <w:pPr>
        <w:spacing w:line="460" w:lineRule="exact"/>
        <w:jc w:val="left"/>
        <w:rPr>
          <w:rFonts w:ascii="宋体" w:hAnsi="宋体"/>
          <w:b/>
          <w:szCs w:val="21"/>
        </w:rPr>
      </w:pPr>
      <w:r>
        <w:rPr>
          <w:rFonts w:hint="eastAsia" w:ascii="宋体" w:hAnsi="宋体"/>
          <w:b/>
          <w:szCs w:val="21"/>
        </w:rPr>
        <w:t>可转债代码：113052                     可转债简称：兴业转债</w:t>
      </w:r>
    </w:p>
    <w:p>
      <w:pPr>
        <w:jc w:val="left"/>
        <w:rPr>
          <w:rFonts w:ascii="宋体" w:hAnsi="宋体"/>
          <w:b/>
          <w:szCs w:val="21"/>
        </w:rPr>
      </w:pPr>
    </w:p>
    <w:p>
      <w:pPr>
        <w:spacing w:line="540" w:lineRule="exact"/>
        <w:jc w:val="center"/>
        <w:rPr>
          <w:rFonts w:ascii="黑体" w:eastAsia="黑体"/>
          <w:color w:val="FF0000"/>
          <w:sz w:val="36"/>
          <w:szCs w:val="36"/>
        </w:rPr>
      </w:pPr>
      <w:r>
        <w:rPr>
          <w:rFonts w:hint="eastAsia" w:ascii="黑体" w:eastAsia="黑体"/>
          <w:color w:val="FF0000"/>
          <w:sz w:val="36"/>
          <w:szCs w:val="36"/>
        </w:rPr>
        <w:t>兴业银行股份有限公司</w:t>
      </w:r>
    </w:p>
    <w:p>
      <w:pPr>
        <w:spacing w:line="540" w:lineRule="exact"/>
        <w:jc w:val="center"/>
        <w:rPr>
          <w:rFonts w:ascii="宋体" w:hAnsi="宋体"/>
          <w:sz w:val="24"/>
        </w:rPr>
      </w:pPr>
      <w:r>
        <w:rPr>
          <w:rFonts w:hint="eastAsia" w:ascii="黑体" w:eastAsia="黑体"/>
          <w:color w:val="FF0000"/>
          <w:sz w:val="36"/>
          <w:szCs w:val="36"/>
        </w:rPr>
        <w:t>关于股东权益变动的提示性公告</w:t>
      </w:r>
    </w:p>
    <w:p>
      <w:pPr>
        <w:spacing w:line="360" w:lineRule="auto"/>
        <w:ind w:firstLine="480" w:firstLineChars="200"/>
        <w:rPr>
          <w:rFonts w:ascii="宋体" w:hAnsi="宋体"/>
          <w:sz w:val="24"/>
        </w:rPr>
      </w:pPr>
    </w:p>
    <w:p>
      <w:pPr>
        <w:spacing w:line="500" w:lineRule="exact"/>
        <w:ind w:firstLine="480" w:firstLineChars="200"/>
        <w:rPr>
          <w:rFonts w:ascii="宋体" w:hAnsi="宋体"/>
          <w:sz w:val="24"/>
          <w:szCs w:val="24"/>
        </w:rPr>
      </w:pPr>
      <w:r>
        <w:rPr>
          <w:rFonts w:hint="eastAsia" w:ascii="宋体" w:hAnsi="宋体"/>
          <w:sz w:val="24"/>
          <w:szCs w:val="24"/>
        </w:rPr>
        <w:t>本公司董事会及全体董事保证本公告内容不存在任何虚假记载、误导性陈述或者重大遗漏，并对其内容的真实性、准确性和完整性承担个别及连带责任。</w:t>
      </w:r>
    </w:p>
    <w:p>
      <w:pPr>
        <w:spacing w:line="500" w:lineRule="exact"/>
        <w:ind w:firstLine="573"/>
        <w:rPr>
          <w:rFonts w:ascii="宋体" w:hAnsi="宋体"/>
          <w:sz w:val="24"/>
          <w:szCs w:val="24"/>
        </w:rPr>
      </w:pPr>
      <w:bookmarkStart w:id="0" w:name="_GoBack"/>
      <w:bookmarkEnd w:id="0"/>
    </w:p>
    <w:p>
      <w:pPr>
        <w:widowControl/>
        <w:snapToGrid w:val="0"/>
        <w:spacing w:line="500" w:lineRule="exact"/>
        <w:ind w:firstLine="482" w:firstLineChars="200"/>
        <w:rPr>
          <w:rFonts w:cs="宋体" w:asciiTheme="minorEastAsia" w:hAnsiTheme="minorEastAsia"/>
          <w:b/>
          <w:bCs/>
          <w:kern w:val="0"/>
          <w:sz w:val="24"/>
          <w:szCs w:val="24"/>
        </w:rPr>
      </w:pPr>
      <w:r>
        <w:rPr>
          <w:rFonts w:hint="eastAsia" w:cs="宋体" w:asciiTheme="minorEastAsia" w:hAnsiTheme="minorEastAsia"/>
          <w:b/>
          <w:bCs/>
          <w:kern w:val="0"/>
          <w:sz w:val="24"/>
          <w:szCs w:val="24"/>
        </w:rPr>
        <w:t>重要内容提示:</w:t>
      </w:r>
    </w:p>
    <w:p>
      <w:pPr>
        <w:widowControl/>
        <w:snapToGri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本次权益变动属于国有股份无偿划转，不触及要约收购。</w:t>
      </w:r>
    </w:p>
    <w:p>
      <w:pPr>
        <w:widowControl/>
        <w:snapToGri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本次权益变动将导致本公司第一大股东由福建省财政厅变更为福建省金融投资有限责任公司。福建省金融投资有限责任公司为福建省财政厅100%控股子公司，福建省财政厅和福建省金融投资有限责任公司在涉及本公司权益事项时互为一致行动人，二者合计持股数量和比例在股权划转完成前后均保持不变。</w:t>
      </w:r>
    </w:p>
    <w:p>
      <w:pPr>
        <w:spacing w:line="500" w:lineRule="exact"/>
        <w:ind w:firstLine="480" w:firstLineChars="200"/>
        <w:rPr>
          <w:rFonts w:ascii="宋体" w:hAnsi="宋体"/>
          <w:sz w:val="24"/>
          <w:szCs w:val="24"/>
        </w:rPr>
      </w:pPr>
    </w:p>
    <w:p>
      <w:pPr>
        <w:widowControl/>
        <w:snapToGri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兴业银行股份有限公司（以下简称本公司）3月18日收到《福建省人民政府关于兴业银行股权无偿划转事项的批复》（闽政文〔2022〕137号，以下简称闽政文〔2022〕137号文件），同意福建省财政厅持有的本公司普通股股份3,511,918,625股（占本公司总股本的16.91%）按程序无偿划转至福建省金融投资有限责任公司（以下简称福建金投）。</w:t>
      </w:r>
    </w:p>
    <w:p>
      <w:pPr>
        <w:widowControl/>
        <w:snapToGrid w:val="0"/>
        <w:spacing w:line="500" w:lineRule="exact"/>
        <w:ind w:firstLine="482" w:firstLineChars="200"/>
        <w:rPr>
          <w:rFonts w:cs="宋体" w:asciiTheme="minorEastAsia" w:hAnsiTheme="minorEastAsia"/>
          <w:b/>
          <w:kern w:val="0"/>
          <w:sz w:val="24"/>
          <w:szCs w:val="24"/>
        </w:rPr>
      </w:pPr>
      <w:r>
        <w:rPr>
          <w:rFonts w:hint="eastAsia" w:cs="宋体" w:asciiTheme="minorEastAsia" w:hAnsiTheme="minorEastAsia"/>
          <w:b/>
          <w:kern w:val="0"/>
          <w:sz w:val="24"/>
          <w:szCs w:val="24"/>
        </w:rPr>
        <w:t>一、</w:t>
      </w:r>
      <w:r>
        <w:rPr>
          <w:rFonts w:cs="宋体" w:asciiTheme="minorEastAsia" w:hAnsiTheme="minorEastAsia"/>
          <w:b/>
          <w:kern w:val="0"/>
          <w:sz w:val="24"/>
          <w:szCs w:val="24"/>
        </w:rPr>
        <w:t>本次</w:t>
      </w:r>
      <w:r>
        <w:rPr>
          <w:rFonts w:hint="eastAsia" w:cs="宋体" w:asciiTheme="minorEastAsia" w:hAnsiTheme="minorEastAsia"/>
          <w:b/>
          <w:kern w:val="0"/>
          <w:sz w:val="24"/>
          <w:szCs w:val="24"/>
        </w:rPr>
        <w:t>权益变动</w:t>
      </w:r>
      <w:r>
        <w:rPr>
          <w:rFonts w:cs="宋体" w:asciiTheme="minorEastAsia" w:hAnsiTheme="minorEastAsia"/>
          <w:b/>
          <w:kern w:val="0"/>
          <w:sz w:val="24"/>
          <w:szCs w:val="24"/>
        </w:rPr>
        <w:t>的基本情况</w:t>
      </w:r>
    </w:p>
    <w:p>
      <w:pPr>
        <w:widowControl/>
        <w:snapToGri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目前，福建省财政厅持有本公司普通股股份</w:t>
      </w:r>
      <w:r>
        <w:rPr>
          <w:rFonts w:cs="宋体" w:asciiTheme="minorEastAsia" w:hAnsiTheme="minorEastAsia"/>
          <w:kern w:val="0"/>
          <w:sz w:val="24"/>
          <w:szCs w:val="24"/>
        </w:rPr>
        <w:t>3</w:t>
      </w:r>
      <w:r>
        <w:rPr>
          <w:rFonts w:hint="eastAsia" w:cs="宋体" w:asciiTheme="minorEastAsia" w:hAnsiTheme="minorEastAsia"/>
          <w:kern w:val="0"/>
          <w:sz w:val="24"/>
          <w:szCs w:val="24"/>
        </w:rPr>
        <w:t>,</w:t>
      </w:r>
      <w:r>
        <w:rPr>
          <w:rFonts w:cs="宋体" w:asciiTheme="minorEastAsia" w:hAnsiTheme="minorEastAsia"/>
          <w:kern w:val="0"/>
          <w:sz w:val="24"/>
          <w:szCs w:val="24"/>
        </w:rPr>
        <w:t>915</w:t>
      </w:r>
      <w:r>
        <w:rPr>
          <w:rFonts w:hint="eastAsia" w:cs="宋体" w:asciiTheme="minorEastAsia" w:hAnsiTheme="minorEastAsia"/>
          <w:kern w:val="0"/>
          <w:sz w:val="24"/>
          <w:szCs w:val="24"/>
        </w:rPr>
        <w:t>,</w:t>
      </w:r>
      <w:r>
        <w:rPr>
          <w:rFonts w:cs="宋体" w:asciiTheme="minorEastAsia" w:hAnsiTheme="minorEastAsia"/>
          <w:kern w:val="0"/>
          <w:sz w:val="24"/>
          <w:szCs w:val="24"/>
        </w:rPr>
        <w:t>181</w:t>
      </w:r>
      <w:r>
        <w:rPr>
          <w:rFonts w:hint="eastAsia" w:cs="宋体" w:asciiTheme="minorEastAsia" w:hAnsiTheme="minorEastAsia"/>
          <w:kern w:val="0"/>
          <w:sz w:val="24"/>
          <w:szCs w:val="24"/>
        </w:rPr>
        <w:t>,</w:t>
      </w:r>
      <w:r>
        <w:rPr>
          <w:rFonts w:cs="宋体" w:asciiTheme="minorEastAsia" w:hAnsiTheme="minorEastAsia"/>
          <w:kern w:val="0"/>
          <w:sz w:val="24"/>
          <w:szCs w:val="24"/>
        </w:rPr>
        <w:t>039</w:t>
      </w:r>
      <w:r>
        <w:rPr>
          <w:rFonts w:hint="eastAsia" w:cs="宋体" w:asciiTheme="minorEastAsia" w:hAnsiTheme="minorEastAsia"/>
          <w:kern w:val="0"/>
          <w:sz w:val="24"/>
          <w:szCs w:val="24"/>
        </w:rPr>
        <w:t>股，占本公司总股本18.85%；福建金投未持有本公司股份。依据闽政文〔2022〕137号文件要求，福建省财政厅拟将其普通账户持有的本公司普通股股份3,511,918,625股（占本公司总股本的16.91%）按程序无偿划转至福建金投。划转完成后，福建省财政厅仍持有本公司普通股股份403,262,414股，占比1.94%；</w:t>
      </w:r>
      <w:r>
        <w:rPr>
          <w:rFonts w:hint="eastAsia" w:asciiTheme="minorEastAsia" w:hAnsiTheme="minorEastAsia"/>
          <w:sz w:val="24"/>
          <w:szCs w:val="24"/>
        </w:rPr>
        <w:t>福建金投将持有</w:t>
      </w:r>
      <w:r>
        <w:rPr>
          <w:rFonts w:hint="eastAsia" w:cs="宋体" w:asciiTheme="minorEastAsia" w:hAnsiTheme="minorEastAsia"/>
          <w:kern w:val="0"/>
          <w:sz w:val="24"/>
          <w:szCs w:val="24"/>
        </w:rPr>
        <w:t>本公司普通股股份3,511,918,625股，占比16.91%；</w:t>
      </w:r>
      <w:r>
        <w:rPr>
          <w:rFonts w:hint="eastAsia" w:ascii="宋体" w:hAnsi="宋体" w:cs="宋体"/>
          <w:sz w:val="24"/>
          <w:szCs w:val="24"/>
        </w:rPr>
        <w:t>福建金投将成为本公司第一大股东</w:t>
      </w:r>
      <w:r>
        <w:rPr>
          <w:rFonts w:hint="eastAsia" w:cs="宋体" w:asciiTheme="minorEastAsia" w:hAnsiTheme="minorEastAsia"/>
          <w:kern w:val="0"/>
          <w:sz w:val="24"/>
          <w:szCs w:val="24"/>
        </w:rPr>
        <w:t>。</w:t>
      </w:r>
    </w:p>
    <w:p>
      <w:pPr>
        <w:widowControl/>
        <w:snapToGri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福建金投为</w:t>
      </w:r>
      <w:r>
        <w:rPr>
          <w:rFonts w:hint="eastAsia" w:ascii="宋体" w:hAnsi="宋体" w:cs="宋体"/>
          <w:sz w:val="24"/>
          <w:szCs w:val="24"/>
        </w:rPr>
        <w:t>福建省财政厅100%控股子公司，</w:t>
      </w:r>
      <w:r>
        <w:rPr>
          <w:rFonts w:hint="eastAsia" w:asciiTheme="minorEastAsia" w:hAnsiTheme="minorEastAsia"/>
          <w:sz w:val="24"/>
          <w:szCs w:val="24"/>
        </w:rPr>
        <w:t>福建省财政厅与福建金投在涉及本公司权益事项时互为一致行动人，划转完成前后</w:t>
      </w:r>
      <w:r>
        <w:rPr>
          <w:rFonts w:hint="eastAsia" w:cs="宋体" w:asciiTheme="minorEastAsia" w:hAnsiTheme="minorEastAsia"/>
          <w:kern w:val="0"/>
          <w:sz w:val="24"/>
          <w:szCs w:val="24"/>
        </w:rPr>
        <w:t>福建省财政厅与</w:t>
      </w:r>
      <w:r>
        <w:rPr>
          <w:rFonts w:hint="eastAsia" w:asciiTheme="minorEastAsia" w:hAnsiTheme="minorEastAsia"/>
          <w:sz w:val="24"/>
          <w:szCs w:val="24"/>
        </w:rPr>
        <w:t>福建金投合计持</w:t>
      </w:r>
      <w:r>
        <w:rPr>
          <w:rFonts w:hint="eastAsia" w:cs="宋体" w:asciiTheme="minorEastAsia" w:hAnsiTheme="minorEastAsia"/>
          <w:kern w:val="0"/>
          <w:sz w:val="24"/>
          <w:szCs w:val="24"/>
        </w:rPr>
        <w:t>有本公司股票的数量和比例均保持不变</w:t>
      </w:r>
      <w:r>
        <w:rPr>
          <w:rFonts w:hint="eastAsia" w:asciiTheme="minorEastAsia" w:hAnsiTheme="minorEastAsia"/>
          <w:sz w:val="24"/>
          <w:szCs w:val="24"/>
        </w:rPr>
        <w:t>，本公司仍无控股股东。</w:t>
      </w:r>
    </w:p>
    <w:p>
      <w:pPr>
        <w:adjustRightInd w:val="0"/>
        <w:snapToGrid w:val="0"/>
        <w:spacing w:line="500" w:lineRule="exact"/>
        <w:ind w:firstLine="480"/>
        <w:outlineLvl w:val="0"/>
        <w:rPr>
          <w:rFonts w:ascii="宋体" w:hAnsi="宋体"/>
          <w:b/>
          <w:bCs/>
          <w:sz w:val="24"/>
          <w:szCs w:val="24"/>
        </w:rPr>
      </w:pPr>
      <w:r>
        <w:rPr>
          <w:rFonts w:hint="eastAsia" w:ascii="宋体" w:hAnsi="宋体"/>
          <w:b/>
          <w:bCs/>
          <w:sz w:val="24"/>
          <w:szCs w:val="24"/>
        </w:rPr>
        <w:t xml:space="preserve">二、所涉及后续事项 </w:t>
      </w:r>
    </w:p>
    <w:p>
      <w:pPr>
        <w:adjustRightInd w:val="0"/>
        <w:snapToGrid w:val="0"/>
        <w:spacing w:line="500" w:lineRule="exact"/>
        <w:ind w:firstLine="480"/>
        <w:outlineLvl w:val="0"/>
        <w:rPr>
          <w:rFonts w:ascii="宋体" w:hAnsi="宋体"/>
          <w:sz w:val="24"/>
          <w:szCs w:val="24"/>
        </w:rPr>
      </w:pPr>
      <w:r>
        <w:rPr>
          <w:rFonts w:hint="eastAsia" w:ascii="宋体" w:hAnsi="宋体"/>
          <w:sz w:val="24"/>
          <w:szCs w:val="24"/>
        </w:rPr>
        <w:t>（一）根据相关规定，福建省财政厅需编制《兴业银行股份有限公司简式权益变动报告书》，福建金投因在股权划转完成后成为本公司第一大股东需编制《兴业银行股份有限公司详式权益变动报告书》。上述信息披露义务人将编制相应的权益变动报告书并于近日另行披露。</w:t>
      </w:r>
    </w:p>
    <w:p>
      <w:pPr>
        <w:adjustRightInd w:val="0"/>
        <w:snapToGrid w:val="0"/>
        <w:spacing w:line="500" w:lineRule="exact"/>
        <w:ind w:firstLine="480"/>
        <w:outlineLvl w:val="0"/>
        <w:rPr>
          <w:rFonts w:ascii="宋体" w:hAnsi="宋体"/>
          <w:sz w:val="24"/>
          <w:szCs w:val="24"/>
        </w:rPr>
      </w:pPr>
      <w:r>
        <w:rPr>
          <w:rFonts w:hint="eastAsia" w:ascii="宋体" w:hAnsi="宋体"/>
          <w:sz w:val="24"/>
          <w:szCs w:val="24"/>
        </w:rPr>
        <w:t>（二）本次权益变动尚需经过中国银行保险监督管理委员会关于本次股权划转事项所涉及股东资格的审批、上海证券交易所合规性确认，并在中国证券登记结算有限责任公司上海分公司办理过户登记等手续。</w:t>
      </w:r>
    </w:p>
    <w:p>
      <w:pPr>
        <w:adjustRightInd w:val="0"/>
        <w:snapToGrid w:val="0"/>
        <w:spacing w:line="500" w:lineRule="exact"/>
        <w:ind w:firstLine="480"/>
        <w:outlineLvl w:val="0"/>
        <w:rPr>
          <w:rFonts w:ascii="宋体" w:hAnsi="宋体"/>
          <w:sz w:val="24"/>
          <w:szCs w:val="24"/>
        </w:rPr>
      </w:pPr>
      <w:r>
        <w:rPr>
          <w:rFonts w:hint="eastAsia" w:ascii="宋体" w:hAnsi="宋体"/>
          <w:sz w:val="24"/>
          <w:szCs w:val="24"/>
        </w:rPr>
        <w:t>本公司将持续跟进上述事项进展情况，并按照法律法规及时履行信息披露义务。</w:t>
      </w:r>
    </w:p>
    <w:p>
      <w:pPr>
        <w:adjustRightInd w:val="0"/>
        <w:snapToGrid w:val="0"/>
        <w:spacing w:line="500" w:lineRule="exact"/>
        <w:ind w:firstLine="480"/>
        <w:outlineLvl w:val="0"/>
        <w:rPr>
          <w:rFonts w:ascii="宋体" w:hAnsi="宋体"/>
          <w:sz w:val="24"/>
          <w:szCs w:val="24"/>
        </w:rPr>
      </w:pPr>
      <w:r>
        <w:rPr>
          <w:rFonts w:hint="eastAsia" w:ascii="宋体" w:hAnsi="宋体"/>
          <w:sz w:val="24"/>
          <w:szCs w:val="24"/>
        </w:rPr>
        <w:t>特此公告。</w:t>
      </w:r>
    </w:p>
    <w:p>
      <w:pPr>
        <w:spacing w:line="500" w:lineRule="exact"/>
        <w:ind w:left="560" w:firstLine="570"/>
        <w:jc w:val="right"/>
        <w:rPr>
          <w:rFonts w:asciiTheme="minorEastAsia" w:hAnsiTheme="minorEastAsia"/>
          <w:sz w:val="24"/>
          <w:szCs w:val="24"/>
        </w:rPr>
      </w:pPr>
      <w:r>
        <w:rPr>
          <w:rFonts w:hint="eastAsia" w:asciiTheme="minorEastAsia" w:hAnsiTheme="minorEastAsia"/>
          <w:sz w:val="24"/>
          <w:szCs w:val="24"/>
        </w:rPr>
        <w:t>兴业银行股份有限公司董事会</w:t>
      </w:r>
    </w:p>
    <w:p>
      <w:pPr>
        <w:spacing w:line="500" w:lineRule="exact"/>
        <w:ind w:left="560" w:right="480" w:firstLine="570"/>
        <w:jc w:val="right"/>
        <w:rPr>
          <w:rFonts w:asciiTheme="minorEastAsia" w:hAnsiTheme="minorEastAsia"/>
          <w:sz w:val="24"/>
          <w:szCs w:val="24"/>
        </w:rPr>
      </w:pPr>
      <w:r>
        <w:rPr>
          <w:rFonts w:hint="eastAsia" w:asciiTheme="minorEastAsia" w:hAnsiTheme="minorEastAsia"/>
          <w:sz w:val="24"/>
          <w:szCs w:val="24"/>
        </w:rPr>
        <w:t>2022年3月21日</w:t>
      </w:r>
    </w:p>
    <w:p>
      <w:pPr>
        <w:spacing w:line="560" w:lineRule="exact"/>
        <w:ind w:firstLine="573"/>
        <w:rPr>
          <w:rFonts w:ascii="宋体" w:hAnsi="宋体"/>
          <w:sz w:val="28"/>
          <w:szCs w:val="28"/>
        </w:rPr>
      </w:pP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17550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26"/>
    <w:rsid w:val="000119AC"/>
    <w:rsid w:val="00023650"/>
    <w:rsid w:val="0002434D"/>
    <w:rsid w:val="00025F1A"/>
    <w:rsid w:val="00030027"/>
    <w:rsid w:val="0003744C"/>
    <w:rsid w:val="000468B0"/>
    <w:rsid w:val="00055532"/>
    <w:rsid w:val="00074D03"/>
    <w:rsid w:val="000B4746"/>
    <w:rsid w:val="0010193E"/>
    <w:rsid w:val="0011172C"/>
    <w:rsid w:val="00133266"/>
    <w:rsid w:val="001404C3"/>
    <w:rsid w:val="00172A27"/>
    <w:rsid w:val="00186513"/>
    <w:rsid w:val="00192164"/>
    <w:rsid w:val="001C2006"/>
    <w:rsid w:val="001C3468"/>
    <w:rsid w:val="001D30EE"/>
    <w:rsid w:val="00231BA6"/>
    <w:rsid w:val="00231BEA"/>
    <w:rsid w:val="00242084"/>
    <w:rsid w:val="00272A6D"/>
    <w:rsid w:val="00280A00"/>
    <w:rsid w:val="002A7848"/>
    <w:rsid w:val="002E2758"/>
    <w:rsid w:val="002E41FC"/>
    <w:rsid w:val="0032754F"/>
    <w:rsid w:val="0033234A"/>
    <w:rsid w:val="00362BC5"/>
    <w:rsid w:val="0036325C"/>
    <w:rsid w:val="00385A88"/>
    <w:rsid w:val="00395CAF"/>
    <w:rsid w:val="00397BB8"/>
    <w:rsid w:val="003A1E05"/>
    <w:rsid w:val="003B0A84"/>
    <w:rsid w:val="003B6D09"/>
    <w:rsid w:val="003C3569"/>
    <w:rsid w:val="003C5C46"/>
    <w:rsid w:val="003D58D5"/>
    <w:rsid w:val="003E298E"/>
    <w:rsid w:val="003E79CF"/>
    <w:rsid w:val="003E7CDF"/>
    <w:rsid w:val="00403288"/>
    <w:rsid w:val="00417352"/>
    <w:rsid w:val="00457866"/>
    <w:rsid w:val="004A4624"/>
    <w:rsid w:val="004C0D70"/>
    <w:rsid w:val="004E3F9C"/>
    <w:rsid w:val="00510019"/>
    <w:rsid w:val="00511B7D"/>
    <w:rsid w:val="00514206"/>
    <w:rsid w:val="0051581C"/>
    <w:rsid w:val="005171FC"/>
    <w:rsid w:val="00525194"/>
    <w:rsid w:val="00536A73"/>
    <w:rsid w:val="0055302A"/>
    <w:rsid w:val="00570B32"/>
    <w:rsid w:val="00593BE2"/>
    <w:rsid w:val="005B3EBB"/>
    <w:rsid w:val="005E4D2C"/>
    <w:rsid w:val="005E556A"/>
    <w:rsid w:val="005E56E7"/>
    <w:rsid w:val="00612E89"/>
    <w:rsid w:val="00614053"/>
    <w:rsid w:val="006165E7"/>
    <w:rsid w:val="00623F75"/>
    <w:rsid w:val="00642394"/>
    <w:rsid w:val="00651370"/>
    <w:rsid w:val="00666124"/>
    <w:rsid w:val="006A2189"/>
    <w:rsid w:val="006C0DEF"/>
    <w:rsid w:val="006C11D7"/>
    <w:rsid w:val="006C5236"/>
    <w:rsid w:val="006E0102"/>
    <w:rsid w:val="00705281"/>
    <w:rsid w:val="007074F9"/>
    <w:rsid w:val="00716A8C"/>
    <w:rsid w:val="007411F2"/>
    <w:rsid w:val="0074436D"/>
    <w:rsid w:val="00763988"/>
    <w:rsid w:val="007829F9"/>
    <w:rsid w:val="007D5B74"/>
    <w:rsid w:val="007F4DF5"/>
    <w:rsid w:val="00814E68"/>
    <w:rsid w:val="00815E46"/>
    <w:rsid w:val="008308D6"/>
    <w:rsid w:val="00847C7B"/>
    <w:rsid w:val="008506C5"/>
    <w:rsid w:val="008513A9"/>
    <w:rsid w:val="00871ECE"/>
    <w:rsid w:val="008914D5"/>
    <w:rsid w:val="008A0AFB"/>
    <w:rsid w:val="008B04A1"/>
    <w:rsid w:val="008B513D"/>
    <w:rsid w:val="008C6F8D"/>
    <w:rsid w:val="008D30B2"/>
    <w:rsid w:val="008F02A1"/>
    <w:rsid w:val="008F3A89"/>
    <w:rsid w:val="00903856"/>
    <w:rsid w:val="00905083"/>
    <w:rsid w:val="0090688A"/>
    <w:rsid w:val="0094160E"/>
    <w:rsid w:val="00975E8C"/>
    <w:rsid w:val="009D1503"/>
    <w:rsid w:val="009F2FE5"/>
    <w:rsid w:val="009F7F36"/>
    <w:rsid w:val="00A01F86"/>
    <w:rsid w:val="00A1176A"/>
    <w:rsid w:val="00A16E63"/>
    <w:rsid w:val="00A50B64"/>
    <w:rsid w:val="00A62E26"/>
    <w:rsid w:val="00A83B50"/>
    <w:rsid w:val="00A91F0B"/>
    <w:rsid w:val="00A9395B"/>
    <w:rsid w:val="00A94157"/>
    <w:rsid w:val="00AA3BB1"/>
    <w:rsid w:val="00AC3867"/>
    <w:rsid w:val="00AF282E"/>
    <w:rsid w:val="00AF6A68"/>
    <w:rsid w:val="00B2145E"/>
    <w:rsid w:val="00B52CBD"/>
    <w:rsid w:val="00B6711E"/>
    <w:rsid w:val="00B7473F"/>
    <w:rsid w:val="00BA1B15"/>
    <w:rsid w:val="00BC0F4D"/>
    <w:rsid w:val="00BC2C40"/>
    <w:rsid w:val="00BC483F"/>
    <w:rsid w:val="00BD70F6"/>
    <w:rsid w:val="00BD7DD8"/>
    <w:rsid w:val="00BE06E3"/>
    <w:rsid w:val="00BF3F51"/>
    <w:rsid w:val="00C102EC"/>
    <w:rsid w:val="00C2063D"/>
    <w:rsid w:val="00C550A4"/>
    <w:rsid w:val="00C71877"/>
    <w:rsid w:val="00C74FED"/>
    <w:rsid w:val="00C75679"/>
    <w:rsid w:val="00C75C33"/>
    <w:rsid w:val="00C80CB9"/>
    <w:rsid w:val="00C86DF9"/>
    <w:rsid w:val="00C903C3"/>
    <w:rsid w:val="00C9046D"/>
    <w:rsid w:val="00C95FA3"/>
    <w:rsid w:val="00CB3017"/>
    <w:rsid w:val="00CB7050"/>
    <w:rsid w:val="00CC252F"/>
    <w:rsid w:val="00CD6A4B"/>
    <w:rsid w:val="00D250AE"/>
    <w:rsid w:val="00D51081"/>
    <w:rsid w:val="00D671BA"/>
    <w:rsid w:val="00D9715E"/>
    <w:rsid w:val="00DD0F8B"/>
    <w:rsid w:val="00DD45DC"/>
    <w:rsid w:val="00DE5DA5"/>
    <w:rsid w:val="00E12988"/>
    <w:rsid w:val="00E1387A"/>
    <w:rsid w:val="00E1763D"/>
    <w:rsid w:val="00E36841"/>
    <w:rsid w:val="00E420CD"/>
    <w:rsid w:val="00E469C2"/>
    <w:rsid w:val="00E4785F"/>
    <w:rsid w:val="00E65AEF"/>
    <w:rsid w:val="00E75F69"/>
    <w:rsid w:val="00E7792C"/>
    <w:rsid w:val="00E81B6E"/>
    <w:rsid w:val="00EA48F1"/>
    <w:rsid w:val="00EB30A4"/>
    <w:rsid w:val="00EC11A9"/>
    <w:rsid w:val="00EC687E"/>
    <w:rsid w:val="00EF3336"/>
    <w:rsid w:val="00EF5704"/>
    <w:rsid w:val="00F55C2F"/>
    <w:rsid w:val="00F67B86"/>
    <w:rsid w:val="00F84ADF"/>
    <w:rsid w:val="00F931A3"/>
    <w:rsid w:val="00FA0E96"/>
    <w:rsid w:val="00FA7FAF"/>
    <w:rsid w:val="00FB4061"/>
    <w:rsid w:val="00FB4659"/>
    <w:rsid w:val="00FC2F72"/>
    <w:rsid w:val="00FF6C86"/>
    <w:rsid w:val="02F33B9E"/>
    <w:rsid w:val="07B54EC6"/>
    <w:rsid w:val="07E4653C"/>
    <w:rsid w:val="122511FB"/>
    <w:rsid w:val="1F3A207D"/>
    <w:rsid w:val="2A3862F1"/>
    <w:rsid w:val="2DDD57F8"/>
    <w:rsid w:val="320F6027"/>
    <w:rsid w:val="39DC3E01"/>
    <w:rsid w:val="3D797D7E"/>
    <w:rsid w:val="3FB738AB"/>
    <w:rsid w:val="53193E65"/>
    <w:rsid w:val="54D23459"/>
    <w:rsid w:val="56045996"/>
    <w:rsid w:val="57395364"/>
    <w:rsid w:val="5B4C4811"/>
    <w:rsid w:val="5FD34060"/>
    <w:rsid w:val="60AC1290"/>
    <w:rsid w:val="64AB070B"/>
    <w:rsid w:val="697B5879"/>
    <w:rsid w:val="6A2C413A"/>
    <w:rsid w:val="6DAC653A"/>
    <w:rsid w:val="6F3C329A"/>
    <w:rsid w:val="7C2C6946"/>
    <w:rsid w:val="7F3178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8"/>
    <w:qFormat/>
    <w:uiPriority w:val="0"/>
    <w:pPr>
      <w:ind w:left="100" w:leftChars="2500"/>
    </w:pPr>
    <w:rPr>
      <w:rFonts w:ascii="Times New Roman" w:hAnsi="Times New Roman"/>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kern w:val="2"/>
      <w:sz w:val="18"/>
      <w:szCs w:val="18"/>
    </w:rPr>
  </w:style>
  <w:style w:type="character" w:customStyle="1" w:styleId="13">
    <w:name w:val="页脚 Char"/>
    <w:basedOn w:val="10"/>
    <w:link w:val="5"/>
    <w:qFormat/>
    <w:uiPriority w:val="99"/>
    <w:rPr>
      <w:kern w:val="2"/>
      <w:sz w:val="18"/>
      <w:szCs w:val="18"/>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5">
    <w:name w:val="批注框文本 Char"/>
    <w:basedOn w:val="10"/>
    <w:link w:val="4"/>
    <w:semiHidden/>
    <w:qFormat/>
    <w:uiPriority w:val="99"/>
    <w:rPr>
      <w:kern w:val="2"/>
      <w:sz w:val="18"/>
      <w:szCs w:val="18"/>
    </w:rPr>
  </w:style>
  <w:style w:type="character" w:customStyle="1" w:styleId="16">
    <w:name w:val="批注文字 Char"/>
    <w:basedOn w:val="10"/>
    <w:link w:val="2"/>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日期 Char"/>
    <w:basedOn w:val="10"/>
    <w:link w:val="3"/>
    <w:qFormat/>
    <w:uiPriority w:val="0"/>
    <w:rPr>
      <w:rFonts w:ascii="Times New Roman" w:hAnsi="Times New Roman"/>
      <w:kern w:val="2"/>
      <w:sz w:val="21"/>
      <w:szCs w:val="24"/>
    </w:rPr>
  </w:style>
  <w:style w:type="paragraph" w:styleId="19">
    <w:name w:val="List Paragraph"/>
    <w:basedOn w:val="1"/>
    <w:qFormat/>
    <w:uiPriority w:val="99"/>
    <w:pPr>
      <w:ind w:firstLine="420" w:firstLineChars="200"/>
    </w:pPr>
    <w:rPr>
      <w:rFonts w:ascii="Times New Roman" w:hAnsi="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CIB</Company>
  <Pages>2</Pages>
  <Words>189</Words>
  <Characters>1079</Characters>
  <Lines>8</Lines>
  <Paragraphs>2</Paragraphs>
  <TotalTime>13</TotalTime>
  <ScaleCrop>false</ScaleCrop>
  <LinksUpToDate>false</LinksUpToDate>
  <CharactersWithSpaces>1266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2021-10-22T07:07:00Z</dcterms:created>
  <dc:creator>陈亮</dc:creator>
  <cp:lastModifiedBy>刘宇祺</cp:lastModifiedBy>
  <cp:lastPrinted>2022-03-21T10:14:00Z</cp:lastPrinted>
  <dcterms:modified xsi:type="dcterms:W3CDTF">2022-03-22T01:19:25Z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