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3074A6" w14:textId="4E17C46C" w:rsidR="00E471F5" w:rsidRPr="00E471F5" w:rsidRDefault="00E471F5" w:rsidP="00E471F5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bookmarkStart w:id="0" w:name="_GoBack"/>
      <w:bookmarkEnd w:id="0"/>
      <w:r w:rsidRPr="00E471F5">
        <w:rPr>
          <w:rFonts w:ascii="宋体" w:hAnsi="宋体" w:cs="宋体" w:hint="eastAsia"/>
          <w:b/>
          <w:color w:val="000000"/>
          <w:kern w:val="0"/>
          <w:szCs w:val="21"/>
        </w:rPr>
        <w:t>公告编号：临2022-</w:t>
      </w:r>
      <w:r w:rsidR="002E5A4C" w:rsidRPr="00E471F5">
        <w:rPr>
          <w:rFonts w:ascii="宋体" w:hAnsi="宋体" w:cs="宋体" w:hint="eastAsia"/>
          <w:b/>
          <w:color w:val="000000"/>
          <w:kern w:val="0"/>
          <w:szCs w:val="21"/>
        </w:rPr>
        <w:t>0</w:t>
      </w:r>
      <w:r w:rsidR="002E5A4C">
        <w:rPr>
          <w:rFonts w:ascii="宋体" w:hAnsi="宋体" w:cs="宋体" w:hint="eastAsia"/>
          <w:b/>
          <w:color w:val="000000"/>
          <w:kern w:val="0"/>
          <w:szCs w:val="21"/>
        </w:rPr>
        <w:t>32</w:t>
      </w:r>
    </w:p>
    <w:p w14:paraId="43F7D7C6" w14:textId="1D1BF9EB" w:rsidR="00E471F5" w:rsidRPr="00E471F5" w:rsidRDefault="00E471F5" w:rsidP="00E471F5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E471F5">
        <w:rPr>
          <w:rFonts w:ascii="宋体" w:hAnsi="宋体" w:cs="宋体" w:hint="eastAsia"/>
          <w:b/>
          <w:color w:val="000000"/>
          <w:kern w:val="0"/>
          <w:szCs w:val="21"/>
        </w:rPr>
        <w:t>A股代码：601166                           A股简称：兴业银行</w:t>
      </w:r>
    </w:p>
    <w:p w14:paraId="161DAE1C" w14:textId="554F6311" w:rsidR="00E471F5" w:rsidRPr="00E471F5" w:rsidRDefault="00E471F5" w:rsidP="00E471F5">
      <w:pPr>
        <w:autoSpaceDE w:val="0"/>
        <w:autoSpaceDN w:val="0"/>
        <w:adjustRightInd w:val="0"/>
        <w:spacing w:line="400" w:lineRule="exact"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E471F5">
        <w:rPr>
          <w:rFonts w:ascii="宋体" w:hAnsi="宋体" w:cs="宋体" w:hint="eastAsia"/>
          <w:b/>
          <w:color w:val="000000"/>
          <w:kern w:val="0"/>
          <w:szCs w:val="21"/>
        </w:rPr>
        <w:t>优先股代码：360005、360012、360032        优先股简称：兴业优1、兴业优2、兴业优3</w:t>
      </w:r>
    </w:p>
    <w:p w14:paraId="0BAD2039" w14:textId="619873F1" w:rsidR="00E471F5" w:rsidRPr="00E471F5" w:rsidRDefault="00E471F5" w:rsidP="00E471F5">
      <w:pPr>
        <w:spacing w:line="400" w:lineRule="exact"/>
        <w:rPr>
          <w:rFonts w:ascii="宋体" w:hAnsi="宋体" w:cs="宋体"/>
          <w:b/>
          <w:color w:val="000000"/>
          <w:kern w:val="0"/>
          <w:szCs w:val="21"/>
        </w:rPr>
      </w:pPr>
      <w:r w:rsidRPr="00E471F5">
        <w:rPr>
          <w:rFonts w:ascii="宋体" w:hAnsi="宋体" w:cs="宋体" w:hint="eastAsia"/>
          <w:b/>
          <w:color w:val="000000"/>
          <w:kern w:val="0"/>
          <w:szCs w:val="21"/>
        </w:rPr>
        <w:t>可转债代码：113052                        可转债简称：兴业转债</w:t>
      </w:r>
    </w:p>
    <w:p w14:paraId="62C90A3D" w14:textId="77777777" w:rsidR="00C31EC5" w:rsidRDefault="00C31EC5">
      <w:pPr>
        <w:widowControl/>
        <w:ind w:left="11" w:hanging="11"/>
        <w:jc w:val="center"/>
        <w:rPr>
          <w:rFonts w:ascii="黑体" w:eastAsia="黑体" w:hAnsi="黑体" w:cs="微软雅黑"/>
          <w:color w:val="FF0000"/>
          <w:sz w:val="36"/>
          <w:szCs w:val="22"/>
        </w:rPr>
      </w:pPr>
    </w:p>
    <w:p w14:paraId="559AA64B" w14:textId="77777777" w:rsidR="00C31EC5" w:rsidRDefault="00D2109D" w:rsidP="00E20DC9">
      <w:pPr>
        <w:widowControl/>
        <w:spacing w:line="500" w:lineRule="exact"/>
        <w:jc w:val="center"/>
        <w:rPr>
          <w:rFonts w:ascii="黑体" w:eastAsia="黑体" w:hAnsi="黑体" w:cs="微软雅黑"/>
          <w:color w:val="FF0000"/>
          <w:sz w:val="36"/>
          <w:szCs w:val="36"/>
        </w:rPr>
      </w:pPr>
      <w:r>
        <w:rPr>
          <w:rFonts w:ascii="黑体" w:eastAsia="黑体" w:hAnsi="黑体" w:cs="微软雅黑" w:hint="eastAsia"/>
          <w:color w:val="FF0000"/>
          <w:sz w:val="36"/>
          <w:szCs w:val="36"/>
        </w:rPr>
        <w:t>兴业银行股份有限公司</w:t>
      </w:r>
    </w:p>
    <w:p w14:paraId="28EA66CF" w14:textId="77777777" w:rsidR="00C31EC5" w:rsidRDefault="00D2109D" w:rsidP="00E20DC9">
      <w:pPr>
        <w:widowControl/>
        <w:spacing w:line="500" w:lineRule="exact"/>
        <w:jc w:val="center"/>
        <w:rPr>
          <w:rFonts w:ascii="黑体" w:eastAsia="黑体" w:hAnsi="黑体" w:cs="微软雅黑"/>
          <w:color w:val="FF0000"/>
          <w:sz w:val="36"/>
          <w:szCs w:val="36"/>
        </w:rPr>
      </w:pPr>
      <w:r>
        <w:rPr>
          <w:rFonts w:ascii="黑体" w:eastAsia="黑体" w:hAnsi="黑体" w:cs="微软雅黑" w:hint="eastAsia"/>
          <w:color w:val="FF0000"/>
          <w:sz w:val="36"/>
          <w:szCs w:val="36"/>
        </w:rPr>
        <w:t>关于香港分行在50亿美元中期票据计划项下</w:t>
      </w:r>
    </w:p>
    <w:p w14:paraId="4376EBB1" w14:textId="0233A2F0" w:rsidR="00C31EC5" w:rsidRDefault="00D2109D" w:rsidP="00E20DC9">
      <w:pPr>
        <w:widowControl/>
        <w:spacing w:line="500" w:lineRule="exact"/>
        <w:jc w:val="center"/>
        <w:rPr>
          <w:rFonts w:ascii="黑体" w:eastAsia="黑体" w:hAnsi="黑体" w:cs="微软雅黑"/>
          <w:color w:val="FF0000"/>
          <w:sz w:val="36"/>
          <w:szCs w:val="36"/>
        </w:rPr>
      </w:pPr>
      <w:r>
        <w:rPr>
          <w:rFonts w:ascii="黑体" w:eastAsia="黑体" w:hAnsi="黑体" w:cs="微软雅黑" w:hint="eastAsia"/>
          <w:color w:val="FF0000"/>
          <w:sz w:val="36"/>
          <w:szCs w:val="36"/>
        </w:rPr>
        <w:t>发行相关</w:t>
      </w:r>
      <w:r w:rsidR="004A2558">
        <w:rPr>
          <w:rFonts w:ascii="黑体" w:eastAsia="黑体" w:hAnsi="黑体" w:cs="微软雅黑" w:hint="eastAsia"/>
          <w:color w:val="FF0000"/>
          <w:sz w:val="36"/>
          <w:szCs w:val="36"/>
        </w:rPr>
        <w:t>债券</w:t>
      </w:r>
      <w:r>
        <w:rPr>
          <w:rFonts w:ascii="黑体" w:eastAsia="黑体" w:hAnsi="黑体" w:cs="微软雅黑" w:hint="eastAsia"/>
          <w:color w:val="FF0000"/>
          <w:sz w:val="36"/>
          <w:szCs w:val="36"/>
        </w:rPr>
        <w:t>并上市的公告</w:t>
      </w:r>
    </w:p>
    <w:p w14:paraId="443CACA2" w14:textId="77777777" w:rsidR="00C31EC5" w:rsidRDefault="00C31EC5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cs="Times New Roman"/>
          <w:color w:val="000000"/>
          <w:kern w:val="2"/>
          <w:szCs w:val="20"/>
        </w:rPr>
      </w:pPr>
    </w:p>
    <w:p w14:paraId="66B799B1" w14:textId="77777777" w:rsidR="00C31EC5" w:rsidRDefault="00D2109D" w:rsidP="00C05F0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2C900926" w14:textId="77777777" w:rsidR="00C31EC5" w:rsidRDefault="00C31EC5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cs="Arial"/>
        </w:rPr>
      </w:pPr>
    </w:p>
    <w:p w14:paraId="2CBBB539" w14:textId="4C853AE0" w:rsidR="00C31EC5" w:rsidRDefault="00D2109D" w:rsidP="00DA4169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</w:rPr>
      </w:pPr>
      <w:r>
        <w:rPr>
          <w:rFonts w:cs="Times New Roman" w:hint="eastAsia"/>
        </w:rPr>
        <w:t>根据兴业银行股份有限公司（以下简称“本公司”）</w:t>
      </w:r>
      <w:r w:rsidR="00265C82">
        <w:rPr>
          <w:rFonts w:cs="Times New Roman" w:hint="eastAsia"/>
        </w:rPr>
        <w:t>20</w:t>
      </w:r>
      <w:r w:rsidR="00265C82">
        <w:rPr>
          <w:rFonts w:cs="Times New Roman"/>
        </w:rPr>
        <w:t>20</w:t>
      </w:r>
      <w:r>
        <w:rPr>
          <w:rFonts w:cs="Times New Roman" w:hint="eastAsia"/>
        </w:rPr>
        <w:t>年年度股东大会关于发行金融债券的决议，本公司香港分行近日在50亿美元中期票据计划项下，在境外完成发行</w:t>
      </w:r>
      <w:r w:rsidR="00263309">
        <w:rPr>
          <w:rFonts w:cs="Times New Roman"/>
        </w:rPr>
        <w:t>6.5</w:t>
      </w:r>
      <w:r>
        <w:rPr>
          <w:rFonts w:cs="Times New Roman" w:hint="eastAsia"/>
        </w:rPr>
        <w:t>亿美元债券，募集资金主要用于</w:t>
      </w:r>
      <w:r w:rsidR="002F0754">
        <w:rPr>
          <w:rFonts w:cs="Times New Roman" w:hint="eastAsia"/>
        </w:rPr>
        <w:t>为</w:t>
      </w:r>
      <w:r w:rsidR="002F0754" w:rsidRPr="002F0754">
        <w:rPr>
          <w:rFonts w:cs="Times New Roman" w:hint="eastAsia"/>
        </w:rPr>
        <w:t>可再生能源、低碳和低排放运输的合格绿色资产提供融资和再融资</w:t>
      </w:r>
      <w:r>
        <w:rPr>
          <w:rFonts w:cs="Times New Roman" w:hint="eastAsia"/>
        </w:rPr>
        <w:t>。发行情况如下：</w:t>
      </w:r>
      <w:r w:rsidR="00090553">
        <w:rPr>
          <w:rFonts w:cs="Times New Roman" w:hint="eastAsia"/>
        </w:rPr>
        <w:t>类型为</w:t>
      </w:r>
      <w:r>
        <w:rPr>
          <w:rFonts w:cs="Times New Roman" w:hint="eastAsia"/>
        </w:rPr>
        <w:t>美元计价的高级无抵押债券</w:t>
      </w:r>
      <w:r w:rsidR="00183930">
        <w:rPr>
          <w:rFonts w:cs="Times New Roman" w:hint="eastAsia"/>
        </w:rPr>
        <w:t>，</w:t>
      </w:r>
      <w:r>
        <w:rPr>
          <w:rFonts w:cs="Times New Roman" w:hint="eastAsia"/>
        </w:rPr>
        <w:t>规模</w:t>
      </w:r>
      <w:r w:rsidR="00090553">
        <w:rPr>
          <w:rFonts w:cs="Times New Roman" w:hint="eastAsia"/>
        </w:rPr>
        <w:t>为</w:t>
      </w:r>
      <w:r w:rsidR="006947CC">
        <w:rPr>
          <w:rFonts w:cs="Times New Roman" w:hint="eastAsia"/>
        </w:rPr>
        <w:t>6</w:t>
      </w:r>
      <w:r w:rsidR="00263309">
        <w:rPr>
          <w:rFonts w:cs="Times New Roman"/>
        </w:rPr>
        <w:t>.5</w:t>
      </w:r>
      <w:r>
        <w:rPr>
          <w:rFonts w:cs="Times New Roman" w:hint="eastAsia"/>
        </w:rPr>
        <w:t>亿美元，年利率为</w:t>
      </w:r>
      <w:r w:rsidR="00FE6CD2">
        <w:rPr>
          <w:rFonts w:cs="Times New Roman"/>
        </w:rPr>
        <w:t>3.25</w:t>
      </w:r>
      <w:r>
        <w:rPr>
          <w:rFonts w:cs="Times New Roman" w:hint="eastAsia"/>
        </w:rPr>
        <w:t>%，期限至</w:t>
      </w:r>
      <w:r w:rsidR="00A9276D">
        <w:rPr>
          <w:rFonts w:cs="Times New Roman" w:hint="eastAsia"/>
        </w:rPr>
        <w:t>202</w:t>
      </w:r>
      <w:r w:rsidR="00A9276D">
        <w:rPr>
          <w:rFonts w:cs="Times New Roman"/>
        </w:rPr>
        <w:t>5</w:t>
      </w:r>
      <w:r>
        <w:rPr>
          <w:rFonts w:cs="Times New Roman" w:hint="eastAsia"/>
        </w:rPr>
        <w:t>年。</w:t>
      </w:r>
    </w:p>
    <w:p w14:paraId="38240AF3" w14:textId="1F8431C9" w:rsidR="00C31EC5" w:rsidRDefault="00D2109D" w:rsidP="00DA4169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</w:rPr>
      </w:pPr>
      <w:r>
        <w:rPr>
          <w:rFonts w:cs="Times New Roman" w:hint="eastAsia"/>
        </w:rPr>
        <w:t>上述债券自</w:t>
      </w:r>
      <w:r w:rsidR="00A9276D">
        <w:rPr>
          <w:rFonts w:cs="Times New Roman" w:hint="eastAsia"/>
        </w:rPr>
        <w:t>202</w:t>
      </w:r>
      <w:r w:rsidR="00A9276D">
        <w:rPr>
          <w:rFonts w:cs="Times New Roman"/>
        </w:rPr>
        <w:t>2</w:t>
      </w:r>
      <w:r>
        <w:rPr>
          <w:rFonts w:cs="Times New Roman" w:hint="eastAsia"/>
        </w:rPr>
        <w:t>年</w:t>
      </w:r>
      <w:r w:rsidR="00A9276D">
        <w:rPr>
          <w:rFonts w:cs="Times New Roman"/>
        </w:rPr>
        <w:t>5</w:t>
      </w:r>
      <w:r>
        <w:rPr>
          <w:rFonts w:cs="Times New Roman" w:hint="eastAsia"/>
        </w:rPr>
        <w:t>月</w:t>
      </w:r>
      <w:r w:rsidR="005175DB">
        <w:rPr>
          <w:rFonts w:cs="Times New Roman"/>
        </w:rPr>
        <w:t>1</w:t>
      </w:r>
      <w:r w:rsidR="00D36C65">
        <w:rPr>
          <w:rFonts w:cs="Times New Roman"/>
        </w:rPr>
        <w:t>9</w:t>
      </w:r>
      <w:r>
        <w:rPr>
          <w:rFonts w:cs="Times New Roman" w:hint="eastAsia"/>
        </w:rPr>
        <w:t>日起在香港联合交易所有限公司上市。</w:t>
      </w:r>
    </w:p>
    <w:p w14:paraId="59C4CB71" w14:textId="77777777" w:rsidR="00C31EC5" w:rsidRDefault="00D2109D" w:rsidP="00DA4169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cs="Times New Roman"/>
        </w:rPr>
      </w:pPr>
      <w:r>
        <w:rPr>
          <w:rFonts w:cs="Times New Roman"/>
        </w:rPr>
        <w:t>特此公告。</w:t>
      </w:r>
    </w:p>
    <w:p w14:paraId="6DBD8C9C" w14:textId="77777777" w:rsidR="00C31EC5" w:rsidRDefault="00C31EC5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eastAsia="PMingLiU" w:cs="Times New Roman"/>
        </w:rPr>
      </w:pPr>
    </w:p>
    <w:p w14:paraId="1BC81F5B" w14:textId="77777777" w:rsidR="00C31EC5" w:rsidRDefault="00D2109D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jc w:val="right"/>
        <w:rPr>
          <w:rFonts w:cs="Times New Roman"/>
        </w:rPr>
      </w:pPr>
      <w:r>
        <w:rPr>
          <w:rFonts w:cs="Times New Roman"/>
        </w:rPr>
        <w:t>兴业银行股份有限公司董事会</w:t>
      </w:r>
    </w:p>
    <w:p w14:paraId="6767A213" w14:textId="3FE2027C" w:rsidR="00C31EC5" w:rsidRDefault="00804F96">
      <w:pPr>
        <w:pStyle w:val="a6"/>
        <w:wordWrap w:val="0"/>
        <w:adjustRightInd w:val="0"/>
        <w:snapToGrid w:val="0"/>
        <w:spacing w:before="0" w:beforeAutospacing="0" w:after="0" w:afterAutospacing="0" w:line="360" w:lineRule="auto"/>
        <w:ind w:right="120" w:firstLineChars="200" w:firstLine="480"/>
        <w:jc w:val="right"/>
        <w:rPr>
          <w:rFonts w:cs="Times New Roman"/>
        </w:rPr>
      </w:pPr>
      <w:r>
        <w:rPr>
          <w:rFonts w:cs="Times New Roman"/>
        </w:rPr>
        <w:t>20</w:t>
      </w:r>
      <w:r>
        <w:rPr>
          <w:rFonts w:cs="Times New Roman" w:hint="eastAsia"/>
        </w:rPr>
        <w:t>2</w:t>
      </w:r>
      <w:r w:rsidR="00E471F5">
        <w:rPr>
          <w:rFonts w:cs="Times New Roman" w:hint="eastAsia"/>
        </w:rPr>
        <w:t>2</w:t>
      </w:r>
      <w:r w:rsidR="00D2109D">
        <w:rPr>
          <w:rFonts w:cs="Times New Roman"/>
        </w:rPr>
        <w:t>年</w:t>
      </w:r>
      <w:r w:rsidR="00E471F5">
        <w:rPr>
          <w:rFonts w:cs="Times New Roman" w:hint="eastAsia"/>
        </w:rPr>
        <w:t>5</w:t>
      </w:r>
      <w:r w:rsidR="00D2109D">
        <w:rPr>
          <w:rFonts w:cs="Times New Roman"/>
        </w:rPr>
        <w:t>月</w:t>
      </w:r>
      <w:r w:rsidR="002E5A4C">
        <w:rPr>
          <w:rFonts w:cs="Times New Roman" w:hint="eastAsia"/>
        </w:rPr>
        <w:t>18</w:t>
      </w:r>
      <w:r w:rsidR="00D2109D">
        <w:rPr>
          <w:rFonts w:cs="Times New Roman"/>
        </w:rPr>
        <w:t>日</w:t>
      </w:r>
      <w:r w:rsidR="00D2109D">
        <w:rPr>
          <w:rFonts w:cs="Times New Roman" w:hint="eastAsia"/>
        </w:rPr>
        <w:t xml:space="preserve">    </w:t>
      </w:r>
    </w:p>
    <w:p w14:paraId="0DC19FB4" w14:textId="77777777" w:rsidR="00C31EC5" w:rsidRDefault="00C31EC5">
      <w:pPr>
        <w:pStyle w:val="a6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</w:p>
    <w:sectPr w:rsidR="00C31EC5"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872ED" w16cex:dateUtc="2021-06-07T0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C42A82" w16cid:durableId="246872E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FD0EE" w14:textId="77777777" w:rsidR="00880301" w:rsidRDefault="00880301">
      <w:r>
        <w:separator/>
      </w:r>
    </w:p>
  </w:endnote>
  <w:endnote w:type="continuationSeparator" w:id="0">
    <w:p w14:paraId="269ED38C" w14:textId="77777777" w:rsidR="00880301" w:rsidRDefault="0088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081ED" w14:textId="77777777" w:rsidR="00C31EC5" w:rsidRDefault="00D2109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553EE8" w14:textId="77777777" w:rsidR="00C31EC5" w:rsidRDefault="00C31E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8121D" w14:textId="77777777" w:rsidR="00880301" w:rsidRDefault="00880301">
      <w:r>
        <w:separator/>
      </w:r>
    </w:p>
  </w:footnote>
  <w:footnote w:type="continuationSeparator" w:id="0">
    <w:p w14:paraId="278E27B3" w14:textId="77777777" w:rsidR="00880301" w:rsidRDefault="0088030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WM">
    <w15:presenceInfo w15:providerId="None" w15:userId="KW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FB"/>
    <w:rsid w:val="00005C47"/>
    <w:rsid w:val="00090553"/>
    <w:rsid w:val="000C206D"/>
    <w:rsid w:val="00130838"/>
    <w:rsid w:val="00150AC1"/>
    <w:rsid w:val="00151E27"/>
    <w:rsid w:val="00172A27"/>
    <w:rsid w:val="00172AE4"/>
    <w:rsid w:val="00183930"/>
    <w:rsid w:val="001A606F"/>
    <w:rsid w:val="001D6E4A"/>
    <w:rsid w:val="00252B50"/>
    <w:rsid w:val="00263309"/>
    <w:rsid w:val="00265C82"/>
    <w:rsid w:val="00276E18"/>
    <w:rsid w:val="002849F8"/>
    <w:rsid w:val="002A0EE4"/>
    <w:rsid w:val="002A78A7"/>
    <w:rsid w:val="002A7980"/>
    <w:rsid w:val="002B17C5"/>
    <w:rsid w:val="002B6CB1"/>
    <w:rsid w:val="002E5A4C"/>
    <w:rsid w:val="002F0754"/>
    <w:rsid w:val="00302395"/>
    <w:rsid w:val="00306ADA"/>
    <w:rsid w:val="00355873"/>
    <w:rsid w:val="00382BAC"/>
    <w:rsid w:val="003C29EC"/>
    <w:rsid w:val="003C2E2B"/>
    <w:rsid w:val="003E5626"/>
    <w:rsid w:val="004612F7"/>
    <w:rsid w:val="004A03FA"/>
    <w:rsid w:val="004A2558"/>
    <w:rsid w:val="005175DB"/>
    <w:rsid w:val="0052364A"/>
    <w:rsid w:val="0052737D"/>
    <w:rsid w:val="00527DFF"/>
    <w:rsid w:val="0058177B"/>
    <w:rsid w:val="00592559"/>
    <w:rsid w:val="005B382F"/>
    <w:rsid w:val="005D0261"/>
    <w:rsid w:val="005D1CBB"/>
    <w:rsid w:val="005F5E78"/>
    <w:rsid w:val="00604D1A"/>
    <w:rsid w:val="00611DB5"/>
    <w:rsid w:val="00622B63"/>
    <w:rsid w:val="00643FCB"/>
    <w:rsid w:val="00656564"/>
    <w:rsid w:val="006679F7"/>
    <w:rsid w:val="00690EF0"/>
    <w:rsid w:val="006947CC"/>
    <w:rsid w:val="006E7693"/>
    <w:rsid w:val="007063F2"/>
    <w:rsid w:val="0076580D"/>
    <w:rsid w:val="00773976"/>
    <w:rsid w:val="00780ED1"/>
    <w:rsid w:val="007A6642"/>
    <w:rsid w:val="007B6C4F"/>
    <w:rsid w:val="007B79B7"/>
    <w:rsid w:val="007D582B"/>
    <w:rsid w:val="007E1FF2"/>
    <w:rsid w:val="007F6D7B"/>
    <w:rsid w:val="00804F96"/>
    <w:rsid w:val="008231EE"/>
    <w:rsid w:val="00846434"/>
    <w:rsid w:val="00847426"/>
    <w:rsid w:val="008753EB"/>
    <w:rsid w:val="00880301"/>
    <w:rsid w:val="00882FE3"/>
    <w:rsid w:val="008A627D"/>
    <w:rsid w:val="008B792E"/>
    <w:rsid w:val="008C0E9A"/>
    <w:rsid w:val="008C3AE1"/>
    <w:rsid w:val="008E01AC"/>
    <w:rsid w:val="00933139"/>
    <w:rsid w:val="0094760A"/>
    <w:rsid w:val="00981259"/>
    <w:rsid w:val="00993AA5"/>
    <w:rsid w:val="009E4925"/>
    <w:rsid w:val="009E4C59"/>
    <w:rsid w:val="009F5CEC"/>
    <w:rsid w:val="00A062F3"/>
    <w:rsid w:val="00A215DC"/>
    <w:rsid w:val="00A9276D"/>
    <w:rsid w:val="00A97BF0"/>
    <w:rsid w:val="00B0744B"/>
    <w:rsid w:val="00B614B6"/>
    <w:rsid w:val="00B72B8D"/>
    <w:rsid w:val="00B8628C"/>
    <w:rsid w:val="00B9444A"/>
    <w:rsid w:val="00BB2150"/>
    <w:rsid w:val="00BB7B1C"/>
    <w:rsid w:val="00BD7215"/>
    <w:rsid w:val="00C05F08"/>
    <w:rsid w:val="00C31EC5"/>
    <w:rsid w:val="00C97C41"/>
    <w:rsid w:val="00CA04CB"/>
    <w:rsid w:val="00CB5776"/>
    <w:rsid w:val="00CD7080"/>
    <w:rsid w:val="00D12899"/>
    <w:rsid w:val="00D2109D"/>
    <w:rsid w:val="00D34130"/>
    <w:rsid w:val="00D36C65"/>
    <w:rsid w:val="00D71D0D"/>
    <w:rsid w:val="00DA1388"/>
    <w:rsid w:val="00DA4169"/>
    <w:rsid w:val="00DF393E"/>
    <w:rsid w:val="00E13345"/>
    <w:rsid w:val="00E20DC9"/>
    <w:rsid w:val="00E358C8"/>
    <w:rsid w:val="00E363C2"/>
    <w:rsid w:val="00E471F5"/>
    <w:rsid w:val="00E74A02"/>
    <w:rsid w:val="00E7693F"/>
    <w:rsid w:val="00ED45C5"/>
    <w:rsid w:val="00EE5FDE"/>
    <w:rsid w:val="00F0460E"/>
    <w:rsid w:val="00F1615E"/>
    <w:rsid w:val="00F71A89"/>
    <w:rsid w:val="00F8172C"/>
    <w:rsid w:val="00F96725"/>
    <w:rsid w:val="00FD750B"/>
    <w:rsid w:val="00FE14BC"/>
    <w:rsid w:val="00FE6CD2"/>
    <w:rsid w:val="0FEA4E91"/>
    <w:rsid w:val="124B6E0D"/>
    <w:rsid w:val="1E2E1E8D"/>
    <w:rsid w:val="2F9E763D"/>
    <w:rsid w:val="49073C22"/>
    <w:rsid w:val="69A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25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styleId="a8">
    <w:name w:val="annotation reference"/>
    <w:basedOn w:val="a0"/>
    <w:rsid w:val="00804F96"/>
    <w:rPr>
      <w:sz w:val="21"/>
      <w:szCs w:val="21"/>
    </w:rPr>
  </w:style>
  <w:style w:type="paragraph" w:styleId="a9">
    <w:name w:val="annotation text"/>
    <w:basedOn w:val="a"/>
    <w:link w:val="Char0"/>
    <w:rsid w:val="00804F96"/>
    <w:pPr>
      <w:jc w:val="left"/>
    </w:pPr>
  </w:style>
  <w:style w:type="character" w:customStyle="1" w:styleId="Char0">
    <w:name w:val="批注文字 Char"/>
    <w:basedOn w:val="a0"/>
    <w:link w:val="a9"/>
    <w:rsid w:val="00804F96"/>
    <w:rPr>
      <w:kern w:val="2"/>
      <w:sz w:val="21"/>
    </w:rPr>
  </w:style>
  <w:style w:type="paragraph" w:styleId="aa">
    <w:name w:val="annotation subject"/>
    <w:basedOn w:val="a9"/>
    <w:next w:val="a9"/>
    <w:link w:val="Char1"/>
    <w:rsid w:val="00804F96"/>
    <w:rPr>
      <w:b/>
      <w:bCs/>
    </w:rPr>
  </w:style>
  <w:style w:type="character" w:customStyle="1" w:styleId="Char1">
    <w:name w:val="批注主题 Char"/>
    <w:basedOn w:val="Char0"/>
    <w:link w:val="aa"/>
    <w:rsid w:val="00804F96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page number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qFormat/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  <w:style w:type="character" w:styleId="a8">
    <w:name w:val="annotation reference"/>
    <w:basedOn w:val="a0"/>
    <w:rsid w:val="00804F96"/>
    <w:rPr>
      <w:sz w:val="21"/>
      <w:szCs w:val="21"/>
    </w:rPr>
  </w:style>
  <w:style w:type="paragraph" w:styleId="a9">
    <w:name w:val="annotation text"/>
    <w:basedOn w:val="a"/>
    <w:link w:val="Char0"/>
    <w:rsid w:val="00804F96"/>
    <w:pPr>
      <w:jc w:val="left"/>
    </w:pPr>
  </w:style>
  <w:style w:type="character" w:customStyle="1" w:styleId="Char0">
    <w:name w:val="批注文字 Char"/>
    <w:basedOn w:val="a0"/>
    <w:link w:val="a9"/>
    <w:rsid w:val="00804F96"/>
    <w:rPr>
      <w:kern w:val="2"/>
      <w:sz w:val="21"/>
    </w:rPr>
  </w:style>
  <w:style w:type="paragraph" w:styleId="aa">
    <w:name w:val="annotation subject"/>
    <w:basedOn w:val="a9"/>
    <w:next w:val="a9"/>
    <w:link w:val="Char1"/>
    <w:rsid w:val="00804F96"/>
    <w:rPr>
      <w:b/>
      <w:bCs/>
    </w:rPr>
  </w:style>
  <w:style w:type="character" w:customStyle="1" w:styleId="Char1">
    <w:name w:val="批注主题 Char"/>
    <w:basedOn w:val="Char0"/>
    <w:link w:val="aa"/>
    <w:rsid w:val="00804F9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第二十二号 上市公司重大事项停牌公告</vt:lpstr>
    </vt:vector>
  </TitlesOfParts>
  <Company>sse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第二十二号 上市公司重大事项停牌公告</dc:title>
  <dc:creator>user</dc:creator>
  <cp:lastModifiedBy>魏玮</cp:lastModifiedBy>
  <cp:revision>12</cp:revision>
  <cp:lastPrinted>2021-06-09T00:35:00Z</cp:lastPrinted>
  <dcterms:created xsi:type="dcterms:W3CDTF">2022-05-11T01:52:00Z</dcterms:created>
  <dcterms:modified xsi:type="dcterms:W3CDTF">2022-05-17T08:29:00Z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