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sz w:val="28"/>
          <w:szCs w:val="28"/>
          <w:highlight w:val="none"/>
        </w:rPr>
      </w:pPr>
      <w:r>
        <w:rPr>
          <w:rFonts w:hint="eastAsia" w:ascii="黑体" w:hAnsi="黑体" w:eastAsia="黑体"/>
          <w:sz w:val="28"/>
          <w:szCs w:val="28"/>
          <w:highlight w:val="none"/>
        </w:rPr>
        <w:t>关于部分理财产品销售文件估值条款、信息披露条款变更的公告</w:t>
      </w:r>
    </w:p>
    <w:p>
      <w:pPr>
        <w:ind w:firstLine="560"/>
        <w:jc w:val="left"/>
        <w:rPr>
          <w:rFonts w:ascii="黑体" w:hAnsi="黑体" w:eastAsia="黑体"/>
          <w:sz w:val="28"/>
          <w:szCs w:val="28"/>
          <w:highlight w:val="none"/>
        </w:rPr>
      </w:pPr>
    </w:p>
    <w:p>
      <w:pPr>
        <w:ind w:firstLine="0" w:firstLineChars="0"/>
        <w:rPr>
          <w:rFonts w:ascii="仿宋_GB2312" w:eastAsia="仿宋_GB2312"/>
          <w:b/>
          <w:highlight w:val="none"/>
        </w:rPr>
      </w:pPr>
      <w:r>
        <w:rPr>
          <w:rFonts w:hint="eastAsia" w:ascii="仿宋_GB2312" w:eastAsia="仿宋_GB2312"/>
          <w:b/>
          <w:highlight w:val="none"/>
        </w:rPr>
        <w:t>尊敬的投资者：</w:t>
      </w:r>
    </w:p>
    <w:p>
      <w:pPr>
        <w:ind w:firstLine="420"/>
        <w:rPr>
          <w:rFonts w:ascii="仿宋_GB2312" w:eastAsia="仿宋_GB2312"/>
          <w:highlight w:val="none"/>
        </w:rPr>
      </w:pPr>
      <w:r>
        <w:rPr>
          <w:rFonts w:hint="eastAsia" w:ascii="仿宋_GB2312" w:eastAsia="仿宋_GB2312"/>
          <w:highlight w:val="none"/>
        </w:rPr>
        <w:t>根据《关于规范金融机构资产管理业务的指导意见》（银发[</w:t>
      </w:r>
      <w:r>
        <w:rPr>
          <w:rFonts w:ascii="仿宋_GB2312" w:eastAsia="仿宋_GB2312"/>
          <w:highlight w:val="none"/>
        </w:rPr>
        <w:t>2018]106号</w:t>
      </w:r>
      <w:r>
        <w:rPr>
          <w:rFonts w:hint="eastAsia" w:ascii="仿宋_GB2312" w:eastAsia="仿宋_GB2312"/>
          <w:highlight w:val="none"/>
        </w:rPr>
        <w:t>，以下简称“《资管新规》”）、《商业银行理财业务监督管理办法》（银保监会令[</w:t>
      </w:r>
      <w:r>
        <w:rPr>
          <w:rFonts w:ascii="仿宋_GB2312" w:eastAsia="仿宋_GB2312"/>
          <w:highlight w:val="none"/>
        </w:rPr>
        <w:t>2018]6号</w:t>
      </w:r>
      <w:r>
        <w:rPr>
          <w:rFonts w:hint="eastAsia" w:ascii="仿宋_GB2312" w:eastAsia="仿宋_GB2312"/>
          <w:highlight w:val="none"/>
        </w:rPr>
        <w:t>，以下简称“《理财新规》”）等监管规定、</w:t>
      </w:r>
      <w:r>
        <w:rPr>
          <w:rFonts w:ascii="仿宋_GB2312" w:eastAsia="仿宋_GB2312"/>
          <w:highlight w:val="none"/>
        </w:rPr>
        <w:t>银行业协会对理财业务的指导</w:t>
      </w:r>
      <w:r>
        <w:rPr>
          <w:rFonts w:hint="eastAsia" w:ascii="仿宋_GB2312" w:eastAsia="仿宋_GB2312"/>
          <w:highlight w:val="none"/>
        </w:rPr>
        <w:t>精神及【</w:t>
      </w:r>
      <w:r>
        <w:rPr>
          <w:rFonts w:ascii="仿宋_GB2312" w:eastAsia="仿宋_GB2312"/>
          <w:highlight w:val="none"/>
        </w:rPr>
        <w:t>兴业银行股份有限公司</w:t>
      </w:r>
      <w:r>
        <w:rPr>
          <w:rFonts w:hint="eastAsia" w:ascii="仿宋_GB2312" w:eastAsia="仿宋_GB2312"/>
          <w:highlight w:val="none"/>
        </w:rPr>
        <w:t>】（以下简称“</w:t>
      </w:r>
      <w:r>
        <w:rPr>
          <w:rFonts w:ascii="仿宋_GB2312" w:eastAsia="仿宋_GB2312"/>
          <w:highlight w:val="none"/>
        </w:rPr>
        <w:t>兴业银行</w:t>
      </w:r>
      <w:r>
        <w:rPr>
          <w:rFonts w:hint="eastAsia" w:ascii="仿宋_GB2312" w:eastAsia="仿宋_GB2312"/>
          <w:highlight w:val="none"/>
        </w:rPr>
        <w:t>”或“产品管理人”）的理财业务</w:t>
      </w:r>
      <w:r>
        <w:rPr>
          <w:rFonts w:ascii="仿宋_GB2312" w:eastAsia="仿宋_GB2312"/>
          <w:highlight w:val="none"/>
        </w:rPr>
        <w:t>的</w:t>
      </w:r>
      <w:r>
        <w:rPr>
          <w:rFonts w:hint="eastAsia" w:ascii="仿宋_GB2312" w:eastAsia="仿宋_GB2312"/>
          <w:highlight w:val="none"/>
        </w:rPr>
        <w:t>内部</w:t>
      </w:r>
      <w:r>
        <w:rPr>
          <w:rFonts w:ascii="仿宋_GB2312" w:eastAsia="仿宋_GB2312"/>
          <w:highlight w:val="none"/>
        </w:rPr>
        <w:t>规范</w:t>
      </w:r>
      <w:r>
        <w:rPr>
          <w:rFonts w:hint="eastAsia" w:ascii="仿宋_GB2312" w:eastAsia="仿宋_GB2312"/>
          <w:highlight w:val="none"/>
        </w:rPr>
        <w:t>，产品管理人</w:t>
      </w:r>
      <w:r>
        <w:rPr>
          <w:rFonts w:ascii="仿宋_GB2312" w:eastAsia="仿宋_GB2312"/>
          <w:highlight w:val="none"/>
        </w:rPr>
        <w:t>现</w:t>
      </w:r>
      <w:r>
        <w:rPr>
          <w:rFonts w:hint="eastAsia" w:ascii="仿宋_GB2312" w:eastAsia="仿宋_GB2312"/>
          <w:highlight w:val="none"/>
        </w:rPr>
        <w:t>对部分理财产品的销售文件估值条款、信息披露条款做出调整并公告如下。</w:t>
      </w:r>
      <w:r>
        <w:rPr>
          <w:rFonts w:ascii="仿宋_GB2312" w:eastAsia="仿宋_GB2312"/>
          <w:highlight w:val="none"/>
        </w:rPr>
        <w:t>本次理财产品销售文件变更后</w:t>
      </w:r>
      <w:r>
        <w:rPr>
          <w:rFonts w:hint="eastAsia" w:ascii="仿宋_GB2312" w:eastAsia="仿宋_GB2312"/>
          <w:highlight w:val="none"/>
        </w:rPr>
        <w:t>，产品</w:t>
      </w:r>
      <w:r>
        <w:rPr>
          <w:rFonts w:ascii="仿宋_GB2312" w:eastAsia="仿宋_GB2312"/>
          <w:highlight w:val="none"/>
        </w:rPr>
        <w:t>管理人将</w:t>
      </w:r>
      <w:r>
        <w:rPr>
          <w:rFonts w:hint="eastAsia" w:ascii="仿宋_GB2312" w:eastAsia="仿宋_GB2312"/>
          <w:highlight w:val="none"/>
        </w:rPr>
        <w:t>进一步遵循“对资产管理产品应当实行净值化管理，净值生成应当符合企业会计准则规定，及时反映基础金融资产的收益和风险”及“金融资产坚持公允价值计量原则，鼓励使用市值计量”的</w:t>
      </w:r>
      <w:r>
        <w:rPr>
          <w:rFonts w:ascii="仿宋_GB2312" w:eastAsia="仿宋_GB2312"/>
          <w:highlight w:val="none"/>
        </w:rPr>
        <w:t>监管要求</w:t>
      </w:r>
      <w:r>
        <w:rPr>
          <w:rFonts w:hint="eastAsia" w:ascii="仿宋_GB2312" w:eastAsia="仿宋_GB2312"/>
          <w:highlight w:val="none"/>
        </w:rPr>
        <w:t>。</w:t>
      </w:r>
    </w:p>
    <w:p>
      <w:pPr>
        <w:ind w:firstLine="422"/>
        <w:rPr>
          <w:rFonts w:ascii="仿宋_GB2312" w:eastAsia="仿宋_GB2312"/>
          <w:b/>
          <w:highlight w:val="none"/>
        </w:rPr>
      </w:pPr>
      <w:r>
        <w:rPr>
          <w:rFonts w:hint="eastAsia" w:ascii="仿宋_GB2312" w:eastAsia="仿宋_GB2312"/>
          <w:b/>
          <w:highlight w:val="none"/>
        </w:rPr>
        <w:t>一、理财产品销售文件变更的涉及的产品和变更的内容</w:t>
      </w:r>
    </w:p>
    <w:p>
      <w:pPr>
        <w:ind w:firstLine="420" w:firstLineChars="0"/>
        <w:rPr>
          <w:rFonts w:ascii="仿宋_GB2312" w:eastAsia="仿宋_GB2312"/>
          <w:b/>
          <w:highlight w:val="none"/>
        </w:rPr>
      </w:pPr>
      <w:r>
        <w:rPr>
          <w:rFonts w:hint="eastAsia" w:ascii="仿宋_GB2312" w:eastAsia="仿宋_GB2312"/>
          <w:b/>
          <w:highlight w:val="none"/>
        </w:rPr>
        <w:t>（一）涉及的产品</w:t>
      </w:r>
    </w:p>
    <w:p>
      <w:pPr>
        <w:ind w:firstLine="420"/>
        <w:rPr>
          <w:rFonts w:ascii="仿宋_GB2312" w:eastAsia="仿宋_GB2312"/>
          <w:highlight w:val="none"/>
        </w:rPr>
      </w:pPr>
      <w:r>
        <w:rPr>
          <w:rFonts w:hint="eastAsia" w:ascii="仿宋_GB2312" w:eastAsia="仿宋_GB2312"/>
          <w:highlight w:val="none"/>
        </w:rPr>
        <w:t>涉及变更的理财产品详见附件</w:t>
      </w:r>
      <w:r>
        <w:rPr>
          <w:rFonts w:ascii="仿宋_GB2312" w:eastAsia="仿宋_GB2312"/>
          <w:highlight w:val="none"/>
        </w:rPr>
        <w:t>1</w:t>
      </w:r>
      <w:r>
        <w:rPr>
          <w:rFonts w:hint="eastAsia" w:ascii="仿宋_GB2312" w:eastAsia="仿宋_GB2312"/>
          <w:highlight w:val="none"/>
        </w:rPr>
        <w:t xml:space="preserve">：理财产品清单。 </w:t>
      </w:r>
    </w:p>
    <w:p>
      <w:pPr>
        <w:ind w:firstLine="422"/>
        <w:rPr>
          <w:rFonts w:ascii="仿宋_GB2312" w:eastAsia="仿宋_GB2312"/>
          <w:b/>
          <w:highlight w:val="none"/>
        </w:rPr>
      </w:pPr>
      <w:r>
        <w:rPr>
          <w:rFonts w:hint="eastAsia" w:ascii="仿宋_GB2312" w:eastAsia="仿宋_GB2312"/>
          <w:b/>
          <w:highlight w:val="none"/>
        </w:rPr>
        <w:t>（二）变更的内容</w:t>
      </w:r>
    </w:p>
    <w:p>
      <w:pPr>
        <w:ind w:firstLine="420"/>
        <w:rPr>
          <w:rFonts w:ascii="仿宋_GB2312" w:eastAsia="仿宋_GB2312"/>
          <w:highlight w:val="none"/>
        </w:rPr>
      </w:pPr>
      <w:r>
        <w:rPr>
          <w:rFonts w:hint="eastAsia" w:ascii="仿宋_GB2312" w:eastAsia="仿宋_GB2312"/>
          <w:highlight w:val="none"/>
        </w:rPr>
        <w:t>对销售文件中理财产品项下资产的估值和理财产品的信息披露具体条款进行变更。</w:t>
      </w:r>
    </w:p>
    <w:p>
      <w:pPr>
        <w:ind w:firstLine="420"/>
        <w:rPr>
          <w:rFonts w:ascii="仿宋_GB2312" w:eastAsia="仿宋_GB2312"/>
          <w:highlight w:val="none"/>
        </w:rPr>
      </w:pPr>
      <w:r>
        <w:rPr>
          <w:rFonts w:ascii="仿宋_GB2312" w:eastAsia="仿宋_GB2312"/>
          <w:highlight w:val="none"/>
        </w:rPr>
        <w:t>1.理财</w:t>
      </w:r>
      <w:r>
        <w:rPr>
          <w:rFonts w:hint="eastAsia" w:ascii="仿宋_GB2312" w:eastAsia="仿宋_GB2312"/>
          <w:highlight w:val="none"/>
        </w:rPr>
        <w:t>产品估值条款的变更。主要体现在《产品说明书》中“理财产品项下资产的估值”，对理财产品使用的估值方法进行调整，除严格按照现行监管规定使用摊余成本计量外，理财产品直接和间接投资的资产，均应优先使用市值法进行公允价值计量。（变更后的理财产品销售文件估值条款详见附件</w:t>
      </w:r>
      <w:r>
        <w:rPr>
          <w:rFonts w:ascii="仿宋_GB2312" w:eastAsia="仿宋_GB2312"/>
          <w:highlight w:val="none"/>
        </w:rPr>
        <w:t>2</w:t>
      </w:r>
      <w:r>
        <w:rPr>
          <w:rFonts w:hint="eastAsia" w:ascii="仿宋_GB2312" w:eastAsia="仿宋_GB2312"/>
          <w:highlight w:val="none"/>
        </w:rPr>
        <w:t>：理财产品项下资产的估值）</w:t>
      </w:r>
    </w:p>
    <w:p>
      <w:pPr>
        <w:ind w:firstLine="420"/>
        <w:rPr>
          <w:rFonts w:ascii="仿宋_GB2312" w:eastAsia="仿宋_GB2312"/>
          <w:highlight w:val="none"/>
        </w:rPr>
      </w:pPr>
      <w:r>
        <w:rPr>
          <w:rFonts w:hint="eastAsia" w:ascii="仿宋_GB2312" w:eastAsia="仿宋_GB2312"/>
          <w:highlight w:val="none"/>
        </w:rPr>
        <w:t>2.理财产品信息披露条款的变更。主要体现在《产品说明书》中“理财产品的信息披露”，根据监管</w:t>
      </w:r>
      <w:r>
        <w:rPr>
          <w:rFonts w:ascii="仿宋_GB2312" w:eastAsia="仿宋_GB2312"/>
          <w:highlight w:val="none"/>
        </w:rPr>
        <w:t>要求</w:t>
      </w:r>
      <w:r>
        <w:rPr>
          <w:rFonts w:hint="eastAsia" w:ascii="仿宋_GB2312" w:eastAsia="仿宋_GB2312"/>
          <w:highlight w:val="none"/>
        </w:rPr>
        <w:t>以及对管理人理财业务</w:t>
      </w:r>
      <w:r>
        <w:rPr>
          <w:rFonts w:ascii="仿宋_GB2312" w:eastAsia="仿宋_GB2312"/>
          <w:highlight w:val="none"/>
        </w:rPr>
        <w:t>的</w:t>
      </w:r>
      <w:r>
        <w:rPr>
          <w:rFonts w:hint="eastAsia" w:ascii="仿宋_GB2312" w:eastAsia="仿宋_GB2312"/>
          <w:highlight w:val="none"/>
        </w:rPr>
        <w:t>内部</w:t>
      </w:r>
      <w:r>
        <w:rPr>
          <w:rFonts w:ascii="仿宋_GB2312" w:eastAsia="仿宋_GB2312"/>
          <w:highlight w:val="none"/>
        </w:rPr>
        <w:t>规范</w:t>
      </w:r>
      <w:r>
        <w:rPr>
          <w:rFonts w:hint="eastAsia" w:ascii="仿宋_GB2312" w:eastAsia="仿宋_GB2312"/>
          <w:highlight w:val="none"/>
        </w:rPr>
        <w:t>，更新信息披露的频率和时间、重大事项、临时公告等相关条款。（变更后的理财产品销售文件信息披露条款详见附件</w:t>
      </w:r>
      <w:r>
        <w:rPr>
          <w:rFonts w:ascii="仿宋_GB2312" w:eastAsia="仿宋_GB2312"/>
          <w:highlight w:val="none"/>
        </w:rPr>
        <w:t>3</w:t>
      </w:r>
      <w:r>
        <w:rPr>
          <w:rFonts w:hint="eastAsia" w:ascii="仿宋_GB2312" w:eastAsia="仿宋_GB2312"/>
          <w:highlight w:val="none"/>
        </w:rPr>
        <w:t>：</w:t>
      </w:r>
      <w:r>
        <w:rPr>
          <w:rFonts w:ascii="仿宋_GB2312" w:eastAsia="仿宋_GB2312"/>
          <w:highlight w:val="none"/>
        </w:rPr>
        <w:t>理财产品的</w:t>
      </w:r>
      <w:r>
        <w:rPr>
          <w:rFonts w:hint="eastAsia" w:ascii="仿宋_GB2312" w:eastAsia="仿宋_GB2312"/>
          <w:highlight w:val="none"/>
        </w:rPr>
        <w:t>信息披露）</w:t>
      </w:r>
    </w:p>
    <w:p>
      <w:pPr>
        <w:ind w:firstLine="422"/>
        <w:rPr>
          <w:rFonts w:ascii="仿宋_GB2312" w:eastAsia="仿宋_GB2312"/>
          <w:b/>
          <w:highlight w:val="none"/>
        </w:rPr>
      </w:pPr>
      <w:r>
        <w:rPr>
          <w:rFonts w:hint="eastAsia" w:ascii="仿宋_GB2312" w:eastAsia="仿宋_GB2312"/>
          <w:b/>
          <w:highlight w:val="none"/>
        </w:rPr>
        <w:t>二、理财产品销售文件变更的影响</w:t>
      </w:r>
    </w:p>
    <w:p>
      <w:pPr>
        <w:ind w:firstLine="420"/>
        <w:rPr>
          <w:rFonts w:ascii="仿宋_GB2312" w:eastAsia="仿宋_GB2312"/>
          <w:highlight w:val="none"/>
        </w:rPr>
      </w:pPr>
      <w:r>
        <w:rPr>
          <w:rFonts w:hint="eastAsia" w:ascii="仿宋_GB2312" w:eastAsia="仿宋_GB2312"/>
          <w:highlight w:val="none"/>
        </w:rPr>
        <w:t>本次条款的变更不会对理财产品的投资运作、管理产生实质性影响。</w:t>
      </w:r>
    </w:p>
    <w:p>
      <w:pPr>
        <w:ind w:firstLine="422"/>
        <w:rPr>
          <w:rFonts w:ascii="仿宋_GB2312" w:eastAsia="仿宋_GB2312"/>
          <w:b/>
          <w:highlight w:val="none"/>
        </w:rPr>
      </w:pPr>
      <w:r>
        <w:rPr>
          <w:rFonts w:hint="eastAsia" w:ascii="仿宋_GB2312" w:eastAsia="仿宋_GB2312"/>
          <w:b/>
          <w:highlight w:val="none"/>
        </w:rPr>
        <w:t>三、理财产品销售文件变更的生效</w:t>
      </w:r>
    </w:p>
    <w:p>
      <w:pPr>
        <w:ind w:firstLine="420"/>
        <w:rPr>
          <w:rFonts w:ascii="仿宋_GB2312" w:eastAsia="仿宋_GB2312"/>
          <w:highlight w:val="none"/>
        </w:rPr>
      </w:pPr>
      <w:r>
        <w:rPr>
          <w:rFonts w:hint="eastAsia" w:ascii="仿宋_GB2312" w:eastAsia="仿宋_GB2312"/>
          <w:highlight w:val="none"/>
        </w:rPr>
        <w:t>（一）变更条款的生效。本次销售文件修改已依据理财产品销售文件约定履行规定程序及相应信息披露义务，符合相关法律法规的规定。修订后的理财产品销售文件估值条款、信息披露条款生效日为：【2021】年【11】月【1】日。</w:t>
      </w:r>
    </w:p>
    <w:p>
      <w:pPr>
        <w:ind w:firstLine="420"/>
        <w:rPr>
          <w:rFonts w:ascii="仿宋_GB2312" w:eastAsia="仿宋_GB2312"/>
          <w:highlight w:val="none"/>
        </w:rPr>
      </w:pPr>
      <w:r>
        <w:rPr>
          <w:rFonts w:hint="eastAsia" w:ascii="仿宋_GB2312" w:eastAsia="仿宋_GB2312"/>
          <w:highlight w:val="none"/>
        </w:rPr>
        <w:t>（</w:t>
      </w:r>
      <w:r>
        <w:rPr>
          <w:rFonts w:ascii="仿宋_GB2312" w:eastAsia="仿宋_GB2312"/>
          <w:highlight w:val="none"/>
        </w:rPr>
        <w:t>二</w:t>
      </w:r>
      <w:r>
        <w:rPr>
          <w:rFonts w:hint="eastAsia" w:ascii="仿宋_GB2312" w:eastAsia="仿宋_GB2312"/>
          <w:highlight w:val="none"/>
        </w:rPr>
        <w:t>）理财产品销售文件的文本替换。管理人</w:t>
      </w:r>
      <w:r>
        <w:rPr>
          <w:rFonts w:ascii="仿宋_GB2312" w:eastAsia="仿宋_GB2312"/>
          <w:highlight w:val="none"/>
        </w:rPr>
        <w:t>将</w:t>
      </w:r>
      <w:r>
        <w:rPr>
          <w:rFonts w:hint="eastAsia" w:ascii="仿宋_GB2312" w:eastAsia="仿宋_GB2312"/>
          <w:highlight w:val="none"/>
        </w:rPr>
        <w:t>在理财产品销售文件估值条款、信息披露条款生效日后，及时替换更新</w:t>
      </w:r>
      <w:r>
        <w:rPr>
          <w:rFonts w:ascii="仿宋_GB2312" w:eastAsia="仿宋_GB2312"/>
          <w:highlight w:val="none"/>
        </w:rPr>
        <w:t>理财产品</w:t>
      </w:r>
      <w:r>
        <w:rPr>
          <w:rFonts w:hint="eastAsia" w:ascii="仿宋_GB2312" w:eastAsia="仿宋_GB2312"/>
          <w:highlight w:val="none"/>
        </w:rPr>
        <w:t>销售文件文本。</w:t>
      </w:r>
    </w:p>
    <w:p>
      <w:pPr>
        <w:ind w:firstLine="420"/>
        <w:rPr>
          <w:rFonts w:ascii="仿宋_GB2312" w:eastAsia="仿宋_GB2312"/>
          <w:highlight w:val="none"/>
        </w:rPr>
      </w:pPr>
      <w:r>
        <w:rPr>
          <w:rFonts w:hint="eastAsia" w:ascii="仿宋_GB2312" w:eastAsia="仿宋_GB2312"/>
          <w:highlight w:val="none"/>
        </w:rPr>
        <w:t>投资者如需了解本次理财产品销售文件变更的详细内容，请在理财产品的信息披露渠道（兴业银行或销售机构的信息披露渠道，包括但不限于兴业银行或销售机构的营业网点、门户网站、电子销售渠道等）查看变更后的理财产品销售文件。</w:t>
      </w:r>
    </w:p>
    <w:p>
      <w:pPr>
        <w:ind w:firstLine="422"/>
        <w:rPr>
          <w:rFonts w:ascii="仿宋_GB2312" w:eastAsia="仿宋_GB2312"/>
          <w:b/>
          <w:highlight w:val="none"/>
        </w:rPr>
      </w:pPr>
      <w:r>
        <w:rPr>
          <w:rFonts w:hint="eastAsia" w:ascii="仿宋_GB2312" w:eastAsia="仿宋_GB2312"/>
          <w:b/>
          <w:highlight w:val="none"/>
        </w:rPr>
        <w:t>四、其他</w:t>
      </w:r>
    </w:p>
    <w:p>
      <w:pPr>
        <w:ind w:firstLine="420"/>
        <w:rPr>
          <w:rFonts w:ascii="仿宋_GB2312" w:eastAsia="仿宋_GB2312"/>
          <w:highlight w:val="none"/>
        </w:rPr>
      </w:pPr>
      <w:r>
        <w:rPr>
          <w:rFonts w:hint="eastAsia" w:ascii="仿宋_GB2312" w:eastAsia="仿宋_GB2312"/>
          <w:highlight w:val="none"/>
        </w:rPr>
        <w:t>相关理财产品其他</w:t>
      </w:r>
      <w:r>
        <w:rPr>
          <w:rFonts w:ascii="仿宋_GB2312" w:eastAsia="仿宋_GB2312"/>
          <w:highlight w:val="none"/>
        </w:rPr>
        <w:t>内容</w:t>
      </w:r>
      <w:r>
        <w:rPr>
          <w:rFonts w:hint="eastAsia" w:ascii="仿宋_GB2312" w:eastAsia="仿宋_GB2312"/>
          <w:highlight w:val="none"/>
        </w:rPr>
        <w:t>仍以理财产品销售文件约定为准。如后续有其它调整事项，以产品管理人公告为准。</w:t>
      </w:r>
    </w:p>
    <w:p>
      <w:pPr>
        <w:autoSpaceDE w:val="0"/>
        <w:autoSpaceDN w:val="0"/>
        <w:adjustRightInd w:val="0"/>
        <w:spacing w:before="120" w:after="120"/>
        <w:ind w:firstLine="420"/>
        <w:jc w:val="left"/>
        <w:rPr>
          <w:rFonts w:ascii="仿宋_GB2312" w:eastAsia="仿宋_GB2312" w:cs="宋体"/>
          <w:kern w:val="0"/>
          <w:szCs w:val="21"/>
          <w:highlight w:val="none"/>
        </w:rPr>
      </w:pPr>
      <w:r>
        <w:rPr>
          <w:rFonts w:hint="eastAsia" w:ascii="仿宋_GB2312" w:eastAsia="仿宋_GB2312" w:cs="宋体"/>
          <w:kern w:val="0"/>
          <w:szCs w:val="21"/>
          <w:highlight w:val="none"/>
        </w:rPr>
        <w:t>如有疑问，您可向【兴业银行股份有限公司】客户服务热线【95561】咨询。感谢您一直以来对【兴业银行】的支持！敬请继续关注【兴业银行股份有限公司】的理财产品。</w:t>
      </w:r>
    </w:p>
    <w:p>
      <w:pPr>
        <w:ind w:firstLine="420"/>
        <w:rPr>
          <w:rFonts w:ascii="仿宋_GB2312" w:eastAsia="仿宋_GB2312"/>
          <w:highlight w:val="none"/>
        </w:rPr>
      </w:pPr>
    </w:p>
    <w:p>
      <w:pPr>
        <w:ind w:firstLine="420"/>
        <w:rPr>
          <w:rFonts w:ascii="仿宋_GB2312" w:eastAsia="仿宋_GB2312"/>
          <w:highlight w:val="none"/>
        </w:rPr>
      </w:pPr>
      <w:r>
        <w:rPr>
          <w:rFonts w:hint="eastAsia" w:ascii="仿宋_GB2312" w:eastAsia="仿宋_GB2312"/>
          <w:highlight w:val="none"/>
        </w:rPr>
        <w:t>特此公告。</w:t>
      </w:r>
    </w:p>
    <w:p>
      <w:pPr>
        <w:ind w:firstLine="420"/>
        <w:rPr>
          <w:rFonts w:ascii="仿宋_GB2312" w:eastAsia="仿宋_GB2312"/>
          <w:highlight w:val="none"/>
        </w:rPr>
      </w:pPr>
    </w:p>
    <w:p>
      <w:pPr>
        <w:ind w:firstLine="422"/>
        <w:rPr>
          <w:rFonts w:ascii="仿宋_GB2312" w:eastAsia="仿宋_GB2312"/>
          <w:b/>
          <w:highlight w:val="none"/>
        </w:rPr>
      </w:pPr>
      <w:r>
        <w:rPr>
          <w:rFonts w:hint="eastAsia" w:ascii="仿宋_GB2312" w:eastAsia="仿宋_GB2312"/>
          <w:b/>
          <w:highlight w:val="none"/>
        </w:rPr>
        <w:t>附件1：理财产品清单</w:t>
      </w:r>
    </w:p>
    <w:p>
      <w:pPr>
        <w:ind w:firstLine="422"/>
        <w:rPr>
          <w:rFonts w:ascii="仿宋_GB2312" w:eastAsia="仿宋_GB2312"/>
          <w:b/>
          <w:highlight w:val="none"/>
        </w:rPr>
      </w:pPr>
      <w:r>
        <w:rPr>
          <w:rFonts w:ascii="仿宋_GB2312" w:eastAsia="仿宋_GB2312"/>
          <w:b/>
          <w:highlight w:val="none"/>
        </w:rPr>
        <w:t>附件</w:t>
      </w:r>
      <w:r>
        <w:rPr>
          <w:rFonts w:hint="eastAsia" w:ascii="仿宋_GB2312" w:eastAsia="仿宋_GB2312"/>
          <w:b/>
          <w:highlight w:val="none"/>
        </w:rPr>
        <w:t>2：理财产品项下资产的估值</w:t>
      </w:r>
    </w:p>
    <w:p>
      <w:pPr>
        <w:ind w:firstLine="422"/>
        <w:rPr>
          <w:rFonts w:ascii="仿宋_GB2312" w:eastAsia="仿宋_GB2312"/>
          <w:b/>
          <w:highlight w:val="none"/>
        </w:rPr>
      </w:pPr>
      <w:r>
        <w:rPr>
          <w:rFonts w:ascii="仿宋_GB2312" w:eastAsia="仿宋_GB2312"/>
          <w:b/>
          <w:highlight w:val="none"/>
        </w:rPr>
        <w:t>附件</w:t>
      </w:r>
      <w:r>
        <w:rPr>
          <w:rFonts w:hint="eastAsia" w:ascii="仿宋_GB2312" w:eastAsia="仿宋_GB2312"/>
          <w:b/>
          <w:highlight w:val="none"/>
        </w:rPr>
        <w:t>3：理财产品的信息披露</w:t>
      </w:r>
    </w:p>
    <w:p>
      <w:pPr>
        <w:ind w:firstLine="198" w:firstLineChars="94"/>
        <w:rPr>
          <w:rFonts w:ascii="仿宋_GB2312" w:eastAsia="仿宋_GB2312"/>
          <w:b/>
          <w:highlight w:val="none"/>
        </w:rPr>
      </w:pPr>
    </w:p>
    <w:p>
      <w:pPr>
        <w:ind w:firstLine="422"/>
        <w:jc w:val="right"/>
        <w:rPr>
          <w:rFonts w:ascii="仿宋_GB2312" w:eastAsia="仿宋_GB2312"/>
          <w:b/>
          <w:highlight w:val="none"/>
        </w:rPr>
      </w:pPr>
      <w:r>
        <w:rPr>
          <w:rFonts w:hint="eastAsia" w:ascii="仿宋_GB2312" w:eastAsia="仿宋_GB2312"/>
          <w:b/>
          <w:highlight w:val="none"/>
        </w:rPr>
        <w:t>产品管理人：兴业银行股份有限公司</w:t>
      </w:r>
    </w:p>
    <w:p>
      <w:pPr>
        <w:ind w:firstLine="420"/>
        <w:jc w:val="right"/>
        <w:rPr>
          <w:rFonts w:ascii="仿宋_GB2312" w:eastAsia="仿宋_GB2312"/>
          <w:highlight w:val="none"/>
        </w:rPr>
      </w:pPr>
      <w:r>
        <w:rPr>
          <w:rFonts w:hint="eastAsia" w:ascii="仿宋_GB2312" w:eastAsia="仿宋_GB2312"/>
          <w:highlight w:val="none"/>
        </w:rPr>
        <w:t>2021年10月28</w:t>
      </w:r>
      <w:r>
        <w:rPr>
          <w:rFonts w:ascii="仿宋_GB2312" w:eastAsia="仿宋_GB2312"/>
          <w:highlight w:val="none"/>
        </w:rPr>
        <w:t xml:space="preserve"> </w:t>
      </w:r>
      <w:r>
        <w:rPr>
          <w:rFonts w:hint="eastAsia" w:ascii="仿宋_GB2312" w:eastAsia="仿宋_GB2312"/>
          <w:highlight w:val="none"/>
        </w:rPr>
        <w:t>日</w:t>
      </w:r>
    </w:p>
    <w:p>
      <w:pPr>
        <w:widowControl/>
        <w:ind w:firstLine="420"/>
        <w:jc w:val="left"/>
        <w:rPr>
          <w:rFonts w:ascii="仿宋_GB2312" w:eastAsia="仿宋_GB2312"/>
          <w:b/>
          <w:highlight w:val="none"/>
        </w:rPr>
      </w:pPr>
      <w:r>
        <w:rPr>
          <w:rFonts w:ascii="仿宋_GB2312" w:eastAsia="仿宋_GB2312"/>
          <w:highlight w:val="none"/>
        </w:rPr>
        <w:br w:type="page"/>
      </w:r>
    </w:p>
    <w:p>
      <w:pPr>
        <w:ind w:firstLine="422"/>
        <w:rPr>
          <w:rFonts w:ascii="仿宋_GB2312" w:eastAsia="仿宋_GB2312"/>
          <w:highlight w:val="none"/>
        </w:rPr>
      </w:pPr>
      <w:r>
        <w:rPr>
          <w:rFonts w:hint="eastAsia" w:ascii="仿宋_GB2312" w:eastAsia="仿宋_GB2312"/>
          <w:b/>
          <w:highlight w:val="none"/>
        </w:rPr>
        <w:t>附件</w:t>
      </w:r>
      <w:r>
        <w:rPr>
          <w:rFonts w:ascii="仿宋_GB2312" w:eastAsia="仿宋_GB2312"/>
          <w:b/>
          <w:highlight w:val="none"/>
        </w:rPr>
        <w:t>1</w:t>
      </w:r>
      <w:r>
        <w:rPr>
          <w:rFonts w:hint="eastAsia" w:ascii="仿宋_GB2312" w:eastAsia="仿宋_GB2312"/>
          <w:b/>
          <w:highlight w:val="none"/>
        </w:rPr>
        <w:t>：理财产品清单</w:t>
      </w:r>
    </w:p>
    <w:tbl>
      <w:tblPr>
        <w:tblStyle w:val="9"/>
        <w:tblW w:w="8320" w:type="dxa"/>
        <w:tblInd w:w="93" w:type="dxa"/>
        <w:tblLayout w:type="autofit"/>
        <w:tblCellMar>
          <w:top w:w="0" w:type="dxa"/>
          <w:left w:w="108" w:type="dxa"/>
          <w:bottom w:w="0" w:type="dxa"/>
          <w:right w:w="108" w:type="dxa"/>
        </w:tblCellMar>
      </w:tblPr>
      <w:tblGrid>
        <w:gridCol w:w="880"/>
        <w:gridCol w:w="2200"/>
        <w:gridCol w:w="5240"/>
      </w:tblGrid>
      <w:tr>
        <w:tblPrEx>
          <w:tblCellMar>
            <w:top w:w="0" w:type="dxa"/>
            <w:left w:w="108" w:type="dxa"/>
            <w:bottom w:w="0" w:type="dxa"/>
            <w:right w:w="108" w:type="dxa"/>
          </w:tblCellMar>
        </w:tblPrEx>
        <w:trPr>
          <w:trHeight w:val="510" w:hRule="atLeast"/>
        </w:trPr>
        <w:tc>
          <w:tcPr>
            <w:tcW w:w="880" w:type="dxa"/>
            <w:tcBorders>
              <w:top w:val="single" w:color="auto" w:sz="4" w:space="0"/>
              <w:left w:val="single" w:color="auto" w:sz="4" w:space="0"/>
              <w:bottom w:val="single" w:color="auto" w:sz="4" w:space="0"/>
              <w:right w:val="single" w:color="auto" w:sz="4" w:space="0"/>
            </w:tcBorders>
            <w:shd w:val="clear" w:color="000000" w:fill="99CCFF"/>
            <w:vAlign w:val="center"/>
          </w:tcPr>
          <w:p>
            <w:pPr>
              <w:widowControl/>
              <w:spacing w:line="240" w:lineRule="auto"/>
              <w:ind w:firstLine="0" w:firstLineChars="0"/>
              <w:rPr>
                <w:rFonts w:cs="Calibri" w:asciiTheme="minorEastAsia" w:hAnsiTheme="minorEastAsia"/>
                <w:b/>
                <w:bCs/>
                <w:kern w:val="0"/>
                <w:sz w:val="18"/>
                <w:szCs w:val="18"/>
                <w:highlight w:val="none"/>
              </w:rPr>
            </w:pPr>
            <w:r>
              <w:rPr>
                <w:rFonts w:hint="eastAsia" w:cs="Calibri" w:asciiTheme="minorEastAsia" w:hAnsiTheme="minorEastAsia"/>
                <w:b/>
                <w:bCs/>
                <w:kern w:val="0"/>
                <w:sz w:val="18"/>
                <w:szCs w:val="18"/>
                <w:highlight w:val="none"/>
              </w:rPr>
              <w:t>序号</w:t>
            </w:r>
          </w:p>
        </w:tc>
        <w:tc>
          <w:tcPr>
            <w:tcW w:w="2200" w:type="dxa"/>
            <w:tcBorders>
              <w:top w:val="single" w:color="auto" w:sz="4" w:space="0"/>
              <w:left w:val="nil"/>
              <w:bottom w:val="single" w:color="auto" w:sz="4" w:space="0"/>
              <w:right w:val="single" w:color="auto" w:sz="4" w:space="0"/>
            </w:tcBorders>
            <w:shd w:val="clear" w:color="000000" w:fill="99CCFF"/>
            <w:vAlign w:val="center"/>
          </w:tcPr>
          <w:p>
            <w:pPr>
              <w:widowControl/>
              <w:spacing w:line="240" w:lineRule="auto"/>
              <w:ind w:firstLine="0" w:firstLineChars="0"/>
              <w:jc w:val="center"/>
              <w:rPr>
                <w:rFonts w:cs="Calibri" w:asciiTheme="minorEastAsia" w:hAnsiTheme="minorEastAsia"/>
                <w:b/>
                <w:bCs/>
                <w:kern w:val="0"/>
                <w:sz w:val="18"/>
                <w:szCs w:val="18"/>
                <w:highlight w:val="none"/>
              </w:rPr>
            </w:pPr>
            <w:r>
              <w:rPr>
                <w:rFonts w:hint="eastAsia" w:cs="Calibri" w:asciiTheme="minorEastAsia" w:hAnsiTheme="minorEastAsia"/>
                <w:b/>
                <w:bCs/>
                <w:kern w:val="0"/>
                <w:sz w:val="18"/>
                <w:szCs w:val="18"/>
                <w:highlight w:val="none"/>
              </w:rPr>
              <w:t>登记编码</w:t>
            </w:r>
          </w:p>
        </w:tc>
        <w:tc>
          <w:tcPr>
            <w:tcW w:w="5240" w:type="dxa"/>
            <w:tcBorders>
              <w:top w:val="single" w:color="auto" w:sz="4" w:space="0"/>
              <w:left w:val="nil"/>
              <w:bottom w:val="single" w:color="auto" w:sz="4" w:space="0"/>
              <w:right w:val="single" w:color="auto" w:sz="4" w:space="0"/>
            </w:tcBorders>
            <w:shd w:val="clear" w:color="000000" w:fill="99CCFF"/>
            <w:vAlign w:val="center"/>
          </w:tcPr>
          <w:p>
            <w:pPr>
              <w:widowControl/>
              <w:spacing w:line="240" w:lineRule="auto"/>
              <w:ind w:firstLine="0" w:firstLineChars="0"/>
              <w:jc w:val="center"/>
              <w:rPr>
                <w:rFonts w:cs="Calibri" w:asciiTheme="minorEastAsia" w:hAnsiTheme="minorEastAsia"/>
                <w:b/>
                <w:bCs/>
                <w:kern w:val="0"/>
                <w:sz w:val="18"/>
                <w:szCs w:val="18"/>
                <w:highlight w:val="none"/>
              </w:rPr>
            </w:pPr>
            <w:r>
              <w:rPr>
                <w:rFonts w:hint="eastAsia" w:cs="Calibri" w:asciiTheme="minorEastAsia" w:hAnsiTheme="minorEastAsia"/>
                <w:b/>
                <w:bCs/>
                <w:kern w:val="0"/>
                <w:sz w:val="18"/>
                <w:szCs w:val="18"/>
                <w:highlight w:val="none"/>
              </w:rPr>
              <w:t>产品名称</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cs="宋体" w:asciiTheme="minorEastAsia" w:hAnsiTheme="minorEastAsia"/>
                <w:color w:val="000000"/>
                <w:kern w:val="0"/>
                <w:sz w:val="18"/>
                <w:szCs w:val="18"/>
                <w:highlight w:val="none"/>
              </w:rPr>
              <w:t>1</w:t>
            </w:r>
          </w:p>
        </w:tc>
        <w:tc>
          <w:tcPr>
            <w:tcW w:w="220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cs="宋体" w:asciiTheme="minorEastAsia" w:hAnsiTheme="minorEastAsia"/>
                <w:color w:val="000000"/>
                <w:kern w:val="0"/>
                <w:sz w:val="18"/>
                <w:szCs w:val="18"/>
                <w:highlight w:val="none"/>
              </w:rPr>
              <w:t>C1030919001056</w:t>
            </w:r>
          </w:p>
        </w:tc>
        <w:tc>
          <w:tcPr>
            <w:tcW w:w="52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兴业银行天天万利宝稳利</w:t>
            </w:r>
            <w:r>
              <w:rPr>
                <w:rFonts w:cs="宋体" w:asciiTheme="minorEastAsia" w:hAnsiTheme="minorEastAsia"/>
                <w:color w:val="000000"/>
                <w:kern w:val="0"/>
                <w:sz w:val="18"/>
                <w:szCs w:val="18"/>
                <w:highlight w:val="none"/>
              </w:rPr>
              <w:t>5号净值型理财产品S款</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cs="宋体" w:asciiTheme="minorEastAsia" w:hAnsiTheme="minorEastAsia"/>
                <w:color w:val="000000"/>
                <w:kern w:val="0"/>
                <w:sz w:val="18"/>
                <w:szCs w:val="18"/>
                <w:highlight w:val="none"/>
              </w:rPr>
              <w:t>2</w:t>
            </w:r>
          </w:p>
        </w:tc>
        <w:tc>
          <w:tcPr>
            <w:tcW w:w="220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cs="宋体" w:asciiTheme="minorEastAsia" w:hAnsiTheme="minorEastAsia"/>
                <w:color w:val="000000"/>
                <w:kern w:val="0"/>
                <w:sz w:val="18"/>
                <w:szCs w:val="18"/>
                <w:highlight w:val="none"/>
              </w:rPr>
              <w:t>C1030918001235</w:t>
            </w:r>
          </w:p>
        </w:tc>
        <w:tc>
          <w:tcPr>
            <w:tcW w:w="52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天天万利宝稳利</w:t>
            </w:r>
            <w:r>
              <w:rPr>
                <w:rFonts w:cs="宋体" w:asciiTheme="minorEastAsia" w:hAnsiTheme="minorEastAsia"/>
                <w:color w:val="000000"/>
                <w:kern w:val="0"/>
                <w:sz w:val="18"/>
                <w:szCs w:val="18"/>
                <w:highlight w:val="none"/>
              </w:rPr>
              <w:t>5号净值型理财产品G款</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cs="宋体" w:asciiTheme="minorEastAsia" w:hAnsiTheme="minorEastAsia"/>
                <w:color w:val="000000"/>
                <w:kern w:val="0"/>
                <w:sz w:val="18"/>
                <w:szCs w:val="18"/>
                <w:highlight w:val="none"/>
              </w:rPr>
              <w:t>3</w:t>
            </w:r>
          </w:p>
        </w:tc>
        <w:tc>
          <w:tcPr>
            <w:tcW w:w="220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cs="宋体" w:asciiTheme="minorEastAsia" w:hAnsiTheme="minorEastAsia"/>
                <w:color w:val="000000"/>
                <w:kern w:val="0"/>
                <w:sz w:val="18"/>
                <w:szCs w:val="18"/>
                <w:highlight w:val="none"/>
              </w:rPr>
              <w:t>C1030918001230</w:t>
            </w:r>
          </w:p>
        </w:tc>
        <w:tc>
          <w:tcPr>
            <w:tcW w:w="52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天天万利宝稳利</w:t>
            </w:r>
            <w:r>
              <w:rPr>
                <w:rFonts w:cs="宋体" w:asciiTheme="minorEastAsia" w:hAnsiTheme="minorEastAsia"/>
                <w:color w:val="000000"/>
                <w:kern w:val="0"/>
                <w:sz w:val="18"/>
                <w:szCs w:val="18"/>
                <w:highlight w:val="none"/>
              </w:rPr>
              <w:t>5号净值型理财产品B款</w:t>
            </w:r>
          </w:p>
        </w:tc>
      </w:tr>
    </w:tbl>
    <w:p>
      <w:pPr>
        <w:ind w:firstLineChars="100"/>
        <w:rPr>
          <w:rFonts w:asciiTheme="minorEastAsia" w:hAnsiTheme="minorEastAsia"/>
          <w:sz w:val="20"/>
          <w:szCs w:val="20"/>
          <w:highlight w:val="none"/>
        </w:rPr>
      </w:pPr>
    </w:p>
    <w:p>
      <w:pPr>
        <w:widowControl/>
        <w:spacing w:line="240" w:lineRule="auto"/>
        <w:ind w:firstLine="0" w:firstLineChars="0"/>
        <w:jc w:val="left"/>
        <w:rPr>
          <w:rFonts w:asciiTheme="minorEastAsia" w:hAnsiTheme="minorEastAsia"/>
          <w:sz w:val="20"/>
          <w:szCs w:val="20"/>
          <w:highlight w:val="none"/>
        </w:rPr>
      </w:pPr>
      <w:r>
        <w:rPr>
          <w:rFonts w:asciiTheme="minorEastAsia" w:hAnsiTheme="minorEastAsia"/>
          <w:sz w:val="20"/>
          <w:szCs w:val="20"/>
          <w:highlight w:val="none"/>
        </w:rPr>
        <w:br w:type="page"/>
      </w:r>
    </w:p>
    <w:p>
      <w:pPr>
        <w:ind w:firstLine="422"/>
        <w:rPr>
          <w:rFonts w:ascii="仿宋_GB2312" w:eastAsia="仿宋_GB2312"/>
          <w:b/>
          <w:highlight w:val="none"/>
        </w:rPr>
      </w:pPr>
      <w:r>
        <w:rPr>
          <w:rFonts w:ascii="仿宋_GB2312" w:eastAsia="仿宋_GB2312"/>
          <w:b/>
          <w:highlight w:val="none"/>
        </w:rPr>
        <w:t>附件2</w:t>
      </w:r>
    </w:p>
    <w:p>
      <w:pPr>
        <w:pStyle w:val="2"/>
        <w:spacing w:before="0" w:after="0" w:line="360" w:lineRule="auto"/>
        <w:ind w:firstLine="562"/>
        <w:jc w:val="center"/>
        <w:rPr>
          <w:rFonts w:ascii="Times New Roman"/>
          <w:sz w:val="28"/>
          <w:szCs w:val="28"/>
          <w:highlight w:val="none"/>
        </w:rPr>
      </w:pPr>
      <w:bookmarkStart w:id="0" w:name="_Toc20733"/>
      <w:bookmarkStart w:id="1" w:name="_Toc610"/>
      <w:bookmarkStart w:id="2" w:name="_Toc74065743"/>
      <w:bookmarkStart w:id="3" w:name="_Toc7920"/>
      <w:bookmarkStart w:id="4" w:name="_Toc123051452"/>
      <w:bookmarkStart w:id="5" w:name="_Toc123112234"/>
      <w:bookmarkStart w:id="6" w:name="_Toc1427"/>
      <w:bookmarkStart w:id="7" w:name="_Toc141703886"/>
      <w:bookmarkStart w:id="8" w:name="_Toc10463"/>
      <w:bookmarkStart w:id="9" w:name="_Toc79154670"/>
      <w:bookmarkStart w:id="10" w:name="_Toc23261"/>
      <w:bookmarkStart w:id="11" w:name="_Toc4003"/>
      <w:bookmarkStart w:id="12" w:name="_Toc48649707"/>
      <w:bookmarkStart w:id="13" w:name="_Toc23822"/>
      <w:bookmarkStart w:id="14" w:name="_Toc98560352"/>
      <w:bookmarkStart w:id="15" w:name="_Toc17244"/>
      <w:bookmarkStart w:id="16" w:name="_Toc79392606"/>
      <w:bookmarkStart w:id="17" w:name="_Toc1270"/>
      <w:bookmarkStart w:id="18" w:name="_Toc123102453"/>
      <w:bookmarkStart w:id="19" w:name="_Toc139991736"/>
      <w:bookmarkStart w:id="20" w:name="_Toc83394312"/>
      <w:r>
        <w:rPr>
          <w:rFonts w:hint="eastAsia" w:ascii="Times New Roman"/>
          <w:sz w:val="28"/>
          <w:szCs w:val="28"/>
          <w:highlight w:val="none"/>
        </w:rPr>
        <w:t>理财产品项下资产的估值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23"/>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（一）估值目的</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理财资产估值的目的是客观、准确地反映理财资产是否保值、增值。</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（二）估值频率</w:t>
      </w:r>
    </w:p>
    <w:p>
      <w:pPr>
        <w:pStyle w:val="7"/>
        <w:spacing w:line="360" w:lineRule="auto"/>
        <w:ind w:firstLine="360" w:firstLineChars="200"/>
        <w:rPr>
          <w:rFonts w:asciiTheme="minorEastAsia" w:hAnsiTheme="minorEastAsia" w:eastAsiaTheme="minorEastAsia"/>
          <w:color w:val="2E3033"/>
          <w:sz w:val="18"/>
          <w:szCs w:val="18"/>
          <w:highlight w:val="none"/>
        </w:rPr>
      </w:pPr>
      <w:r>
        <w:rPr>
          <w:rFonts w:hint="eastAsia" w:asciiTheme="minorEastAsia" w:hAnsiTheme="minorEastAsia" w:eastAsiaTheme="minorEastAsia"/>
          <w:sz w:val="18"/>
          <w:szCs w:val="18"/>
          <w:highlight w:val="none"/>
        </w:rPr>
        <w:t>本产品存续期间</w:t>
      </w:r>
      <w:r>
        <w:rPr>
          <w:rFonts w:hint="eastAsia" w:cs="Times New Roman" w:asciiTheme="minorEastAsia" w:hAnsiTheme="minorEastAsia" w:eastAsiaTheme="minorEastAsia"/>
          <w:sz w:val="18"/>
          <w:szCs w:val="18"/>
          <w:highlight w:val="none"/>
        </w:rPr>
        <w:t>，每周进行一次估值。如遇产品</w:t>
      </w:r>
      <w:r>
        <w:rPr>
          <w:rFonts w:cs="Times New Roman" w:asciiTheme="minorEastAsia" w:hAnsiTheme="minorEastAsia" w:eastAsiaTheme="minorEastAsia"/>
          <w:sz w:val="18"/>
          <w:szCs w:val="18"/>
          <w:highlight w:val="none"/>
        </w:rPr>
        <w:t>申购</w:t>
      </w:r>
      <w:r>
        <w:rPr>
          <w:rFonts w:hint="eastAsia" w:cs="Times New Roman" w:asciiTheme="minorEastAsia" w:hAnsiTheme="minorEastAsia" w:eastAsiaTheme="minorEastAsia"/>
          <w:sz w:val="18"/>
          <w:szCs w:val="18"/>
          <w:highlight w:val="none"/>
        </w:rPr>
        <w:t>日</w:t>
      </w:r>
      <w:r>
        <w:rPr>
          <w:rFonts w:cs="Times New Roman" w:asciiTheme="minorEastAsia" w:hAnsiTheme="minorEastAsia" w:eastAsiaTheme="minorEastAsia"/>
          <w:sz w:val="18"/>
          <w:szCs w:val="18"/>
          <w:highlight w:val="none"/>
        </w:rPr>
        <w:t>/赎回</w:t>
      </w:r>
      <w:r>
        <w:rPr>
          <w:rFonts w:hint="eastAsia" w:cs="Times New Roman" w:asciiTheme="minorEastAsia" w:hAnsiTheme="minorEastAsia" w:eastAsiaTheme="minorEastAsia"/>
          <w:sz w:val="18"/>
          <w:szCs w:val="18"/>
          <w:highlight w:val="none"/>
        </w:rPr>
        <w:t>日、季度</w:t>
      </w:r>
      <w:r>
        <w:rPr>
          <w:rFonts w:cs="Times New Roman" w:asciiTheme="minorEastAsia" w:hAnsiTheme="minorEastAsia" w:eastAsiaTheme="minorEastAsia"/>
          <w:sz w:val="18"/>
          <w:szCs w:val="18"/>
          <w:highlight w:val="none"/>
        </w:rPr>
        <w:t>、半年度、年度</w:t>
      </w:r>
      <w:r>
        <w:rPr>
          <w:rFonts w:hint="eastAsia" w:cs="Times New Roman" w:asciiTheme="minorEastAsia" w:hAnsiTheme="minorEastAsia" w:eastAsiaTheme="minorEastAsia"/>
          <w:sz w:val="18"/>
          <w:szCs w:val="18"/>
          <w:highlight w:val="none"/>
        </w:rPr>
        <w:t>末等时间节点管理</w:t>
      </w:r>
      <w:r>
        <w:rPr>
          <w:rFonts w:cs="Times New Roman" w:asciiTheme="minorEastAsia" w:hAnsiTheme="minorEastAsia" w:eastAsiaTheme="minorEastAsia"/>
          <w:sz w:val="18"/>
          <w:szCs w:val="18"/>
          <w:highlight w:val="none"/>
        </w:rPr>
        <w:t>人将</w:t>
      </w:r>
      <w:r>
        <w:rPr>
          <w:rFonts w:hint="eastAsia" w:cs="Times New Roman" w:asciiTheme="minorEastAsia" w:hAnsiTheme="minorEastAsia" w:eastAsiaTheme="minorEastAsia"/>
          <w:sz w:val="18"/>
          <w:szCs w:val="18"/>
          <w:highlight w:val="none"/>
        </w:rPr>
        <w:t>增加估值日</w:t>
      </w:r>
      <w:r>
        <w:rPr>
          <w:rFonts w:hint="eastAsia" w:asciiTheme="minorEastAsia" w:hAnsiTheme="minorEastAsia" w:eastAsiaTheme="minorEastAsia"/>
          <w:color w:val="2E3033"/>
          <w:sz w:val="18"/>
          <w:szCs w:val="18"/>
          <w:highlight w:val="none"/>
        </w:rPr>
        <w:t>。</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（三）估值对象</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本产品所拥有的各类证券、资产管理产品、银行存款、应收款项、其它投资等资产及负债。</w:t>
      </w:r>
    </w:p>
    <w:p>
      <w:pPr>
        <w:pStyle w:val="23"/>
        <w:spacing w:line="360" w:lineRule="auto"/>
        <w:ind w:firstLine="361" w:firstLineChars="200"/>
        <w:rPr>
          <w:rFonts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（四）估值方法</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1.</w:t>
      </w:r>
      <w:r>
        <w:rPr>
          <w:rFonts w:hint="eastAsia" w:asciiTheme="minorEastAsia" w:hAnsiTheme="minorEastAsia" w:eastAsiaTheme="minorEastAsia"/>
          <w:b/>
          <w:color w:val="auto"/>
          <w:sz w:val="18"/>
          <w:szCs w:val="18"/>
          <w:highlight w:val="none"/>
        </w:rPr>
        <w:t>标准化债权类资产估值</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w:t>
      </w:r>
      <w:r>
        <w:rPr>
          <w:rFonts w:asciiTheme="majorEastAsia" w:hAnsiTheme="majorEastAsia" w:eastAsiaTheme="majorEastAsia"/>
          <w:bCs/>
          <w:color w:val="auto"/>
          <w:sz w:val="18"/>
          <w:szCs w:val="18"/>
          <w:highlight w:val="none"/>
        </w:rPr>
        <w:t>1）债券类资产以公允价值计量，主要依据为第三方估值机构提供的价格数据。</w:t>
      </w:r>
      <w:r>
        <w:rPr>
          <w:rFonts w:hint="eastAsia" w:asciiTheme="majorEastAsia" w:hAnsiTheme="majorEastAsia" w:eastAsiaTheme="majorEastAsia"/>
          <w:bCs/>
          <w:color w:val="auto"/>
          <w:sz w:val="18"/>
          <w:szCs w:val="18"/>
          <w:highlight w:val="none"/>
        </w:rPr>
        <w:t>第三方估值机构包括：中央国债登记结算公司和中证指数有限公司</w:t>
      </w:r>
      <w:bookmarkStart w:id="23" w:name="_GoBack"/>
      <w:bookmarkEnd w:id="23"/>
      <w:r>
        <w:rPr>
          <w:rFonts w:hint="eastAsia" w:asciiTheme="majorEastAsia" w:hAnsiTheme="majorEastAsia" w:eastAsiaTheme="majorEastAsia"/>
          <w:bCs/>
          <w:color w:val="auto"/>
          <w:sz w:val="18"/>
          <w:szCs w:val="18"/>
          <w:highlight w:val="none"/>
        </w:rPr>
        <w:t>。</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w:t>
      </w:r>
      <w:r>
        <w:rPr>
          <w:rFonts w:asciiTheme="majorEastAsia" w:hAnsiTheme="majorEastAsia" w:eastAsiaTheme="majorEastAsia"/>
          <w:bCs/>
          <w:color w:val="auto"/>
          <w:sz w:val="18"/>
          <w:szCs w:val="18"/>
          <w:highlight w:val="none"/>
        </w:rPr>
        <w:t>2）在证券交易所上市的债券，如第三方估值机构提供的估值价格与市场收盘价存在差异，且管理人认为收盘价更能体现其公允价值，可与托管人协商一致后采用收盘价进行估值。</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asciiTheme="majorEastAsia" w:hAnsiTheme="majorEastAsia" w:eastAsiaTheme="majorEastAsia"/>
          <w:bCs/>
          <w:color w:val="auto"/>
          <w:sz w:val="18"/>
          <w:szCs w:val="18"/>
          <w:highlight w:val="none"/>
        </w:rPr>
        <w:t>(3)</w:t>
      </w:r>
      <w:r>
        <w:rPr>
          <w:rFonts w:hint="eastAsia" w:asciiTheme="majorEastAsia" w:hAnsiTheme="majorEastAsia" w:eastAsiaTheme="majorEastAsia"/>
          <w:bCs/>
          <w:color w:val="auto"/>
          <w:sz w:val="18"/>
          <w:szCs w:val="18"/>
          <w:highlight w:val="none"/>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highlight w:val="none"/>
        </w:rPr>
        <w:t xml:space="preserve"> </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asciiTheme="majorEastAsia" w:hAnsiTheme="majorEastAsia" w:eastAsiaTheme="majorEastAsia"/>
          <w:bCs/>
          <w:color w:val="auto"/>
          <w:sz w:val="18"/>
          <w:szCs w:val="18"/>
          <w:highlight w:val="none"/>
        </w:rPr>
        <w:t>(4)</w:t>
      </w:r>
      <w:r>
        <w:rPr>
          <w:rFonts w:hint="eastAsia" w:asciiTheme="majorEastAsia" w:hAnsiTheme="majorEastAsia" w:eastAsiaTheme="majorEastAsia"/>
          <w:bCs/>
          <w:color w:val="auto"/>
          <w:sz w:val="18"/>
          <w:szCs w:val="18"/>
          <w:highlight w:val="none"/>
        </w:rPr>
        <w:t>对在银行间市场或交易所市场已发行未上市流通的债券，且第三方估值机构未提供估值数据，采用估值技术确定其公允价值。</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w:t>
      </w:r>
      <w:r>
        <w:rPr>
          <w:rFonts w:asciiTheme="majorEastAsia" w:hAnsiTheme="majorEastAsia" w:eastAsiaTheme="majorEastAsia"/>
          <w:bCs/>
          <w:color w:val="auto"/>
          <w:sz w:val="18"/>
          <w:szCs w:val="18"/>
          <w:highlight w:val="none"/>
        </w:rPr>
        <w:t>5）同一债券同时在两个或两个以上市场交易的，按债券所处的市场及相应的估值标准，分别进行估值。</w:t>
      </w:r>
    </w:p>
    <w:p>
      <w:pPr>
        <w:pStyle w:val="23"/>
        <w:spacing w:line="360" w:lineRule="auto"/>
        <w:ind w:firstLine="361" w:firstLineChars="200"/>
        <w:rPr>
          <w:rFonts w:asciiTheme="majorEastAsia" w:hAnsiTheme="majorEastAsia" w:eastAsiaTheme="majorEastAsia"/>
          <w:b/>
          <w:bCs/>
          <w:color w:val="auto"/>
          <w:sz w:val="18"/>
          <w:szCs w:val="18"/>
          <w:highlight w:val="none"/>
        </w:rPr>
      </w:pPr>
      <w:r>
        <w:rPr>
          <w:rFonts w:asciiTheme="majorEastAsia" w:hAnsiTheme="majorEastAsia"/>
          <w:b/>
          <w:color w:val="auto"/>
          <w:sz w:val="18"/>
          <w:highlight w:val="none"/>
        </w:rPr>
        <w:t>2.</w:t>
      </w:r>
      <w:r>
        <w:rPr>
          <w:rFonts w:hint="eastAsia" w:asciiTheme="majorEastAsia" w:hAnsiTheme="majorEastAsia" w:eastAsiaTheme="majorEastAsia"/>
          <w:b/>
          <w:bCs/>
          <w:color w:val="auto"/>
          <w:sz w:val="18"/>
          <w:szCs w:val="18"/>
          <w:highlight w:val="none"/>
        </w:rPr>
        <w:t>境外债券</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对于境外发行的债券，</w:t>
      </w:r>
      <w:r>
        <w:rPr>
          <w:rFonts w:hint="eastAsia" w:hAnsi="宋体"/>
          <w:color w:val="auto"/>
          <w:sz w:val="18"/>
          <w:szCs w:val="18"/>
          <w:highlight w:val="none"/>
        </w:rPr>
        <w:t>参照主要做市商或其他权威价格提供机构的报价进行估值，若估值日债券价格无法通过公开信息取得，参照最近一个交易日可取得的主要做市商或其他权威价格提供机构的报价进行估值；</w:t>
      </w:r>
    </w:p>
    <w:p>
      <w:pPr>
        <w:pStyle w:val="23"/>
        <w:spacing w:line="360" w:lineRule="auto"/>
        <w:ind w:firstLine="361" w:firstLineChars="200"/>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3.非标准化债权类资产</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非标准化债权类资产，是指不满足中国人民银行制定的标准化债权类资产认定标准的债权类资产。可选取第三方估值机构的价格数据或采用估值技术进行估值。</w:t>
      </w:r>
    </w:p>
    <w:p>
      <w:pPr>
        <w:pStyle w:val="23"/>
        <w:spacing w:line="360" w:lineRule="auto"/>
        <w:ind w:firstLine="361" w:firstLineChars="200"/>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4.上公司股票</w:t>
      </w:r>
      <w:r>
        <w:rPr>
          <w:rFonts w:hint="eastAsia" w:asciiTheme="majorEastAsia" w:hAnsiTheme="majorEastAsia" w:eastAsiaTheme="majorEastAsia"/>
          <w:b/>
          <w:bCs/>
          <w:color w:val="auto"/>
          <w:sz w:val="18"/>
          <w:szCs w:val="18"/>
          <w:highlight w:val="none"/>
        </w:rPr>
        <w:t>估值</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上市公司股票包括正常流通普通股、流通受限股票、长期停牌股票和新发行未上市股票。具体估值方法如下：</w:t>
      </w:r>
    </w:p>
    <w:p>
      <w:pPr>
        <w:pStyle w:val="23"/>
        <w:spacing w:line="360" w:lineRule="auto"/>
        <w:ind w:firstLine="360" w:firstLineChars="200"/>
        <w:rPr>
          <w:rFonts w:asciiTheme="majorEastAsia" w:hAnsiTheme="majorEastAsia" w:eastAsiaTheme="majorEastAsia"/>
          <w:bCs/>
          <w:color w:val="auto"/>
          <w:sz w:val="18"/>
          <w:szCs w:val="18"/>
          <w:highlight w:val="none"/>
        </w:rPr>
      </w:pPr>
      <w:r>
        <w:rPr>
          <w:rFonts w:hint="eastAsia" w:asciiTheme="majorEastAsia" w:hAnsiTheme="majorEastAsia" w:eastAsiaTheme="majorEastAsia"/>
          <w:bCs/>
          <w:color w:val="auto"/>
          <w:sz w:val="18"/>
          <w:szCs w:val="18"/>
          <w:highlight w:val="none"/>
        </w:rPr>
        <w:t>（</w:t>
      </w:r>
      <w:r>
        <w:rPr>
          <w:rFonts w:asciiTheme="majorEastAsia" w:hAnsiTheme="majorEastAsia" w:eastAsiaTheme="majorEastAsia"/>
          <w:bCs/>
          <w:color w:val="auto"/>
          <w:sz w:val="18"/>
          <w:szCs w:val="18"/>
          <w:highlight w:val="none"/>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2）送股、转增股、配股和公开增发新股等发行未上市的股票，按估值日在证券交易所上市的同一股票的收盘价或最近交易日的收盘价确定公允价值。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highlight w:val="none"/>
        </w:rPr>
        <w:t>流动性折扣可依据第三方估值机构提供的数据，或采用看跌期权法以及其他合理的估值方法分析确定。</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4）长期停牌股票，</w:t>
      </w:r>
      <w:r>
        <w:rPr>
          <w:rFonts w:hint="eastAsia" w:asciiTheme="minorEastAsia" w:hAnsiTheme="minorEastAsia" w:eastAsiaTheme="minorEastAsia"/>
          <w:color w:val="auto"/>
          <w:sz w:val="18"/>
          <w:szCs w:val="18"/>
          <w:highlight w:val="none"/>
        </w:rPr>
        <w:t>根据停牌原因、停牌时间及停牌公司公告等信息，采用估值技术确定公允价值。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新发行未上市股票，如果发行日后未发生影响公允价值计量的重大事件的，应采用发行价作为公允价值的最佳估计，已发生影响公允价值计量重大事件的应采用估值技术确定公允价值。</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5.未上市公司股权</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以公允价值计量，应综合考虑被评估企业实际情况、市场交易情况及其他可获得的信息，采用市场法、收益法、重置成本法等估值技术，结合流动性折扣等因素评估公允价值。</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6.</w:t>
      </w:r>
      <w:r>
        <w:rPr>
          <w:rFonts w:hint="eastAsia" w:asciiTheme="minorEastAsia" w:hAnsiTheme="minorEastAsia" w:eastAsiaTheme="minorEastAsia"/>
          <w:b/>
          <w:color w:val="auto"/>
          <w:sz w:val="18"/>
          <w:szCs w:val="18"/>
          <w:highlight w:val="none"/>
        </w:rPr>
        <w:t>优先股</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7.</w:t>
      </w:r>
      <w:r>
        <w:rPr>
          <w:rFonts w:hint="eastAsia" w:asciiTheme="minorEastAsia" w:hAnsiTheme="minorEastAsia" w:eastAsiaTheme="minorEastAsia"/>
          <w:b/>
          <w:color w:val="auto"/>
          <w:sz w:val="18"/>
          <w:szCs w:val="18"/>
          <w:highlight w:val="none"/>
        </w:rPr>
        <w:t>证券投资基金估值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1）非上市基金估值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1)本产品投资的境内非货币市场基金，按所投资基金估值日的基金份额净值估值；估值日基金净值未公布的，以基金管理人公布的最近一个工作日基金份额净值计算。</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2)本产品投资的境内货币市场基金，按所投资基金前一估值日后至估值日期间（含节假日）的万份收益计提估值日基金收益。</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2）上市基金估值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highlight w:val="none"/>
        </w:rPr>
        <w:t>值；估值日无交易的，以最近交易日的收盘价估值。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2)本产品投资的境内上市开放式基金（LOF），按所投资基金估值日的基金份额净值估值；估值日基金净值未公布的，以基金管理人公布的最近一个工作日基金份额净值计算。</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8.</w:t>
      </w:r>
      <w:r>
        <w:rPr>
          <w:rFonts w:hint="eastAsia" w:asciiTheme="minorEastAsia" w:hAnsiTheme="minorEastAsia" w:eastAsiaTheme="minorEastAsia"/>
          <w:b/>
          <w:color w:val="auto"/>
          <w:sz w:val="18"/>
          <w:szCs w:val="18"/>
          <w:highlight w:val="none"/>
        </w:rPr>
        <w:t>其他资产管理产品的估值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sz w:val="18"/>
          <w:szCs w:val="18"/>
          <w:highlight w:val="none"/>
        </w:rPr>
        <w:t>其他资产管理产品，指理财产品投资的除证券投资基金以外的其他资产管理产品，主要包括：</w:t>
      </w:r>
      <w:r>
        <w:rPr>
          <w:rFonts w:hint="eastAsia" w:asciiTheme="minorEastAsia" w:hAnsiTheme="minorEastAsia" w:eastAsiaTheme="minorEastAsia"/>
          <w:bCs/>
          <w:sz w:val="18"/>
          <w:szCs w:val="18"/>
          <w:highlight w:val="none"/>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9.衍生金融工具估值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highlight w:val="none"/>
        </w:rPr>
        <w:t xml:space="preserve"> </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10.</w:t>
      </w:r>
      <w:r>
        <w:rPr>
          <w:rFonts w:hint="eastAsia" w:asciiTheme="minorEastAsia" w:hAnsiTheme="minorEastAsia" w:eastAsiaTheme="minorEastAsia"/>
          <w:b/>
          <w:color w:val="auto"/>
          <w:sz w:val="18"/>
          <w:szCs w:val="18"/>
          <w:highlight w:val="none"/>
        </w:rPr>
        <w:t>存款、拆借、回购等货币市场工具的估值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sz w:val="18"/>
          <w:szCs w:val="18"/>
          <w:highlight w:val="none"/>
        </w:rPr>
        <w:t>以本金列示，按商定利率在实际持有期间内逐日计提利息。如有估值技术能更准确反映其公允价值的，采用估值技术进行估值。</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11.</w:t>
      </w:r>
      <w:r>
        <w:rPr>
          <w:rFonts w:hint="eastAsia" w:asciiTheme="minorEastAsia" w:hAnsiTheme="minorEastAsia" w:eastAsiaTheme="minorEastAsia"/>
          <w:color w:val="auto"/>
          <w:sz w:val="18"/>
          <w:szCs w:val="18"/>
          <w:highlight w:val="none"/>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23"/>
        <w:spacing w:line="360" w:lineRule="auto"/>
        <w:ind w:firstLine="360" w:firstLineChars="200"/>
        <w:rPr>
          <w:rFonts w:ascii="黑体" w:hAnsi="黑体" w:eastAsia="黑体"/>
          <w:color w:val="auto"/>
          <w:sz w:val="18"/>
          <w:szCs w:val="18"/>
          <w:highlight w:val="none"/>
        </w:rPr>
      </w:pPr>
      <w:r>
        <w:rPr>
          <w:rFonts w:ascii="黑体" w:hAnsi="黑体" w:eastAsia="黑体"/>
          <w:color w:val="auto"/>
          <w:sz w:val="18"/>
          <w:szCs w:val="18"/>
          <w:highlight w:val="none"/>
        </w:rPr>
        <w:t>12.</w:t>
      </w:r>
      <w:r>
        <w:rPr>
          <w:rFonts w:hint="eastAsia" w:ascii="黑体" w:hAnsi="黑体" w:eastAsia="黑体"/>
          <w:color w:val="auto"/>
          <w:sz w:val="18"/>
          <w:szCs w:val="18"/>
          <w:highlight w:val="none"/>
        </w:rPr>
        <w:t>★估值方法的调整</w:t>
      </w:r>
    </w:p>
    <w:p>
      <w:pPr>
        <w:pStyle w:val="23"/>
        <w:spacing w:line="360" w:lineRule="auto"/>
        <w:ind w:firstLine="360" w:firstLineChars="200"/>
        <w:rPr>
          <w:rFonts w:ascii="黑体" w:hAnsi="黑体" w:eastAsia="黑体"/>
          <w:color w:val="auto"/>
          <w:sz w:val="18"/>
          <w:szCs w:val="18"/>
          <w:highlight w:val="none"/>
        </w:rPr>
      </w:pPr>
      <w:r>
        <w:rPr>
          <w:rFonts w:hint="eastAsia" w:ascii="黑体" w:hAnsi="黑体" w:eastAsia="黑体"/>
          <w:color w:val="auto"/>
          <w:sz w:val="18"/>
          <w:szCs w:val="18"/>
          <w:highlight w:val="none"/>
        </w:rPr>
        <w:t>若因相关法律法规以及监管部门有规定，需要调整估值方法的，管理人应按相关规定要求使用调整后的估值方法进行估值。</w:t>
      </w:r>
    </w:p>
    <w:p>
      <w:pPr>
        <w:pStyle w:val="23"/>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（五）估值程序</w:t>
      </w:r>
    </w:p>
    <w:p>
      <w:pPr>
        <w:pStyle w:val="23"/>
        <w:spacing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产品份额净值是按照估值日产品资产净值除以当日产品总份额计算，</w:t>
      </w:r>
      <w:r>
        <w:rPr>
          <w:rFonts w:asciiTheme="minorEastAsia" w:hAnsiTheme="minorEastAsia" w:eastAsiaTheme="minorEastAsia"/>
          <w:bCs/>
          <w:color w:val="auto"/>
          <w:sz w:val="18"/>
          <w:szCs w:val="18"/>
          <w:highlight w:val="none"/>
        </w:rPr>
        <w:t>四舍五入保留5位小数</w:t>
      </w:r>
      <w:r>
        <w:rPr>
          <w:rFonts w:hint="eastAsia" w:asciiTheme="minorEastAsia" w:hAnsiTheme="minorEastAsia" w:eastAsiaTheme="minorEastAsia"/>
          <w:color w:val="auto"/>
          <w:sz w:val="18"/>
          <w:szCs w:val="18"/>
          <w:highlight w:val="none"/>
        </w:rPr>
        <w:t>。国家另有规定的，从其规定。</w:t>
      </w:r>
      <w:r>
        <w:rPr>
          <w:rFonts w:hint="eastAsia" w:asciiTheme="minorEastAsia" w:hAnsiTheme="minorEastAsia" w:eastAsiaTheme="minorEastAsia"/>
          <w:bCs/>
          <w:color w:val="auto"/>
          <w:sz w:val="18"/>
          <w:szCs w:val="18"/>
          <w:highlight w:val="none"/>
        </w:rPr>
        <w:t>发生巨额赎回时，为保护投资者利益，产品管理人可提高单位产品净值的精度。</w:t>
      </w:r>
    </w:p>
    <w:p>
      <w:pPr>
        <w:pStyle w:val="23"/>
        <w:spacing w:line="360" w:lineRule="auto"/>
        <w:ind w:firstLine="360" w:firstLineChars="20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 xml:space="preserve">2.产品管理人对理财资产估值后，将产品份额净值发送产品托管人，经产品托管人复核无误后，由产品管理人按规定对外公布。 </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如产品管理人或产品托管人发现理财估值违反本协议约定的估值方法、程序及相关法律法规的规定或者未能充分维护理财份额持有人权益时，应立即通知对方，共同查明原因，双方协商解决。</w:t>
      </w:r>
    </w:p>
    <w:p>
      <w:pPr>
        <w:pStyle w:val="23"/>
        <w:spacing w:line="360" w:lineRule="auto"/>
        <w:ind w:firstLine="361" w:firstLineChars="200"/>
        <w:rPr>
          <w:rFonts w:cs="Times New Roman" w:asciiTheme="minorEastAsia" w:hAnsiTheme="minorEastAsia" w:eastAsiaTheme="minorEastAsia"/>
          <w:b/>
          <w:color w:val="auto"/>
          <w:sz w:val="18"/>
          <w:szCs w:val="18"/>
          <w:highlight w:val="none"/>
        </w:rPr>
      </w:pPr>
      <w:r>
        <w:rPr>
          <w:rFonts w:hint="eastAsia" w:cs="Times New Roman" w:asciiTheme="minorEastAsia" w:hAnsiTheme="minorEastAsia" w:eastAsiaTheme="minorEastAsia"/>
          <w:b/>
          <w:color w:val="auto"/>
          <w:sz w:val="18"/>
          <w:szCs w:val="18"/>
          <w:highlight w:val="none"/>
        </w:rPr>
        <w:t>（六）估值主体</w:t>
      </w:r>
    </w:p>
    <w:p>
      <w:pPr>
        <w:pStyle w:val="23"/>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23"/>
        <w:spacing w:line="360" w:lineRule="auto"/>
        <w:ind w:firstLine="360" w:firstLineChars="200"/>
        <w:rPr>
          <w:rFonts w:ascii="黑体" w:hAnsi="黑体" w:eastAsia="黑体"/>
          <w:sz w:val="18"/>
          <w:szCs w:val="18"/>
          <w:highlight w:val="none"/>
        </w:rPr>
      </w:pPr>
      <w:r>
        <w:rPr>
          <w:rFonts w:hint="eastAsia" w:ascii="黑体" w:hAnsi="黑体" w:eastAsia="黑体"/>
          <w:sz w:val="18"/>
          <w:szCs w:val="18"/>
          <w:highlight w:val="none"/>
        </w:rPr>
        <w:t>（七）★暂停估值</w:t>
      </w:r>
    </w:p>
    <w:p>
      <w:pPr>
        <w:pStyle w:val="23"/>
        <w:spacing w:line="360" w:lineRule="auto"/>
        <w:ind w:firstLine="360" w:firstLineChars="200"/>
        <w:rPr>
          <w:rFonts w:ascii="黑体" w:hAnsi="黑体" w:eastAsia="黑体"/>
          <w:sz w:val="18"/>
          <w:szCs w:val="18"/>
          <w:highlight w:val="none"/>
        </w:rPr>
      </w:pPr>
      <w:r>
        <w:rPr>
          <w:rFonts w:hint="eastAsia" w:ascii="黑体" w:hAnsi="黑体" w:eastAsia="黑体"/>
          <w:sz w:val="18"/>
          <w:szCs w:val="18"/>
          <w:highlight w:val="none"/>
        </w:rPr>
        <w:t>理财产品投资涉及的交易市场遇法定节假日或其他原因暂停营业时，或因任何不可抗力致使理财产品管理人、托管人无法准确评估资产价值时，以及监管机构认定的其他情形，可暂停估值。估值条件恢复时，将按规定完成估值工作。</w:t>
      </w:r>
    </w:p>
    <w:p>
      <w:pPr>
        <w:widowControl/>
        <w:ind w:firstLine="360"/>
        <w:jc w:val="left"/>
        <w:rPr>
          <w:rFonts w:ascii="宋体" w:hAnsi="宋体"/>
          <w:kern w:val="0"/>
          <w:sz w:val="18"/>
          <w:szCs w:val="18"/>
          <w:highlight w:val="none"/>
        </w:rPr>
      </w:pPr>
      <w:r>
        <w:rPr>
          <w:rFonts w:hAnsi="宋体"/>
          <w:sz w:val="18"/>
          <w:szCs w:val="18"/>
          <w:highlight w:val="none"/>
        </w:rPr>
        <w:br w:type="page"/>
      </w:r>
    </w:p>
    <w:p>
      <w:pPr>
        <w:ind w:firstLine="422"/>
        <w:rPr>
          <w:rFonts w:ascii="仿宋_GB2312" w:eastAsia="仿宋_GB2312"/>
          <w:b/>
          <w:highlight w:val="none"/>
        </w:rPr>
      </w:pPr>
      <w:r>
        <w:rPr>
          <w:rFonts w:ascii="仿宋_GB2312" w:eastAsia="仿宋_GB2312"/>
          <w:b/>
          <w:highlight w:val="none"/>
        </w:rPr>
        <w:t>附件3</w:t>
      </w:r>
    </w:p>
    <w:p>
      <w:pPr>
        <w:pStyle w:val="2"/>
        <w:spacing w:before="0" w:after="0" w:line="360" w:lineRule="auto"/>
        <w:jc w:val="center"/>
        <w:rPr>
          <w:rFonts w:ascii="Times New Roman"/>
          <w:sz w:val="18"/>
          <w:szCs w:val="18"/>
          <w:highlight w:val="none"/>
        </w:rPr>
      </w:pPr>
      <w:bookmarkStart w:id="21" w:name="_Toc83394166"/>
      <w:bookmarkStart w:id="22" w:name="_Toc83391975"/>
      <w:r>
        <w:rPr>
          <w:rFonts w:hint="eastAsia" w:ascii="Times New Roman"/>
          <w:sz w:val="28"/>
          <w:szCs w:val="28"/>
          <w:highlight w:val="none"/>
        </w:rPr>
        <w:t>理财产品的信息披露</w:t>
      </w:r>
    </w:p>
    <w:p>
      <w:pPr>
        <w:ind w:firstLine="361"/>
        <w:rPr>
          <w:rFonts w:ascii="宋体" w:hAnsi="宋体"/>
          <w:b/>
          <w:bCs/>
          <w:sz w:val="18"/>
          <w:szCs w:val="18"/>
          <w:highlight w:val="none"/>
        </w:rPr>
      </w:pPr>
      <w:r>
        <w:rPr>
          <w:rFonts w:hint="eastAsia" w:ascii="宋体" w:hAnsi="宋体"/>
          <w:b/>
          <w:bCs/>
          <w:sz w:val="18"/>
          <w:szCs w:val="18"/>
          <w:highlight w:val="none"/>
        </w:rPr>
        <w:t>（一）信息</w:t>
      </w:r>
      <w:r>
        <w:rPr>
          <w:rFonts w:ascii="宋体" w:hAnsi="宋体"/>
          <w:b/>
          <w:bCs/>
          <w:sz w:val="18"/>
          <w:szCs w:val="18"/>
          <w:highlight w:val="none"/>
        </w:rPr>
        <w:t>披露的原则</w:t>
      </w:r>
    </w:p>
    <w:p>
      <w:pPr>
        <w:ind w:firstLine="360"/>
        <w:rPr>
          <w:rFonts w:ascii="宋体" w:hAnsi="宋体"/>
          <w:b/>
          <w:bCs/>
          <w:sz w:val="18"/>
          <w:szCs w:val="18"/>
          <w:highlight w:val="none"/>
        </w:rPr>
      </w:pPr>
      <w:r>
        <w:rPr>
          <w:rFonts w:hint="eastAsia" w:ascii="宋体" w:hAnsi="宋体"/>
          <w:bCs/>
          <w:sz w:val="18"/>
          <w:szCs w:val="18"/>
          <w:highlight w:val="none"/>
        </w:rPr>
        <w:t>产品管理人</w:t>
      </w:r>
      <w:r>
        <w:rPr>
          <w:rFonts w:ascii="宋体" w:hAnsi="宋体"/>
          <w:bCs/>
          <w:sz w:val="18"/>
          <w:szCs w:val="18"/>
          <w:highlight w:val="none"/>
        </w:rPr>
        <w:t>遵循真实性、准确性、完整性和及时性原则</w:t>
      </w:r>
      <w:r>
        <w:rPr>
          <w:rFonts w:hint="eastAsia" w:ascii="宋体" w:hAnsi="宋体"/>
          <w:bCs/>
          <w:sz w:val="18"/>
          <w:szCs w:val="18"/>
          <w:highlight w:val="none"/>
        </w:rPr>
        <w:t>进行</w:t>
      </w:r>
      <w:r>
        <w:rPr>
          <w:rFonts w:ascii="宋体" w:hAnsi="宋体"/>
          <w:bCs/>
          <w:sz w:val="18"/>
          <w:szCs w:val="18"/>
          <w:highlight w:val="none"/>
        </w:rPr>
        <w:t>信息披露</w:t>
      </w:r>
      <w:r>
        <w:rPr>
          <w:rFonts w:hint="eastAsia" w:ascii="宋体" w:hAnsi="宋体"/>
          <w:bCs/>
          <w:sz w:val="18"/>
          <w:szCs w:val="18"/>
          <w:highlight w:val="none"/>
        </w:rPr>
        <w:t>。</w:t>
      </w:r>
    </w:p>
    <w:p>
      <w:pPr>
        <w:ind w:firstLine="361"/>
        <w:rPr>
          <w:rFonts w:ascii="宋体" w:hAnsi="宋体"/>
          <w:b/>
          <w:bCs/>
          <w:sz w:val="18"/>
          <w:szCs w:val="18"/>
          <w:highlight w:val="none"/>
        </w:rPr>
      </w:pPr>
      <w:r>
        <w:rPr>
          <w:rFonts w:hint="eastAsia" w:ascii="宋体" w:hAnsi="宋体"/>
          <w:b/>
          <w:bCs/>
          <w:sz w:val="18"/>
          <w:szCs w:val="18"/>
          <w:highlight w:val="none"/>
        </w:rPr>
        <w:t>（二）信息披露的渠道</w:t>
      </w:r>
    </w:p>
    <w:p>
      <w:pPr>
        <w:ind w:firstLine="360"/>
        <w:rPr>
          <w:rFonts w:ascii="宋体" w:hAnsi="宋体"/>
          <w:bCs/>
          <w:sz w:val="18"/>
          <w:szCs w:val="18"/>
          <w:highlight w:val="none"/>
        </w:rPr>
      </w:pPr>
      <w:r>
        <w:rPr>
          <w:rFonts w:ascii="宋体" w:hAnsi="宋体"/>
          <w:bCs/>
          <w:sz w:val="18"/>
          <w:szCs w:val="18"/>
          <w:highlight w:val="none"/>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ind w:firstLine="360"/>
        <w:rPr>
          <w:rFonts w:ascii="黑体" w:hAnsi="黑体" w:eastAsia="黑体"/>
          <w:bCs/>
          <w:sz w:val="18"/>
          <w:szCs w:val="18"/>
          <w:highlight w:val="none"/>
        </w:rPr>
      </w:pPr>
      <w:r>
        <w:rPr>
          <w:rFonts w:ascii="黑体" w:hAnsi="黑体" w:eastAsia="黑体"/>
          <w:bCs/>
          <w:sz w:val="18"/>
          <w:szCs w:val="18"/>
          <w:highlight w:val="none"/>
        </w:rPr>
        <w:t>2.★产品管理人</w:t>
      </w:r>
      <w:r>
        <w:rPr>
          <w:rFonts w:hint="eastAsia" w:ascii="黑体" w:hAnsi="黑体" w:eastAsia="黑体"/>
          <w:bCs/>
          <w:sz w:val="18"/>
          <w:szCs w:val="18"/>
          <w:highlight w:val="none"/>
        </w:rPr>
        <w:t>通过兴业银行或销售机构的信息披露渠道</w:t>
      </w:r>
      <w:r>
        <w:rPr>
          <w:rFonts w:ascii="黑体" w:hAnsi="黑体" w:eastAsia="黑体"/>
          <w:bCs/>
          <w:sz w:val="18"/>
          <w:szCs w:val="18"/>
          <w:highlight w:val="none"/>
        </w:rPr>
        <w:t>发布</w:t>
      </w:r>
      <w:r>
        <w:rPr>
          <w:rFonts w:hint="eastAsia" w:ascii="黑体" w:hAnsi="黑体" w:eastAsia="黑体"/>
          <w:bCs/>
          <w:sz w:val="18"/>
          <w:szCs w:val="18"/>
          <w:highlight w:val="none"/>
        </w:rPr>
        <w:t>理财产品有关</w:t>
      </w:r>
      <w:r>
        <w:rPr>
          <w:rFonts w:ascii="黑体" w:hAnsi="黑体" w:eastAsia="黑体"/>
          <w:bCs/>
          <w:sz w:val="18"/>
          <w:szCs w:val="18"/>
          <w:highlight w:val="none"/>
        </w:rPr>
        <w:t>信息，即视为已适当履行其信息披露义务。如</w:t>
      </w:r>
      <w:r>
        <w:rPr>
          <w:rFonts w:hint="eastAsia" w:ascii="黑体" w:hAnsi="黑体" w:eastAsia="黑体"/>
          <w:bCs/>
          <w:sz w:val="18"/>
          <w:szCs w:val="18"/>
          <w:highlight w:val="none"/>
        </w:rPr>
        <w:t>产品管理人</w:t>
      </w:r>
      <w:r>
        <w:rPr>
          <w:rFonts w:ascii="黑体" w:hAnsi="黑体" w:eastAsia="黑体"/>
          <w:bCs/>
          <w:sz w:val="18"/>
          <w:szCs w:val="18"/>
          <w:highlight w:val="none"/>
        </w:rPr>
        <w:t>认为需要直接联系</w:t>
      </w:r>
      <w:r>
        <w:rPr>
          <w:rFonts w:hint="eastAsia" w:ascii="黑体" w:hAnsi="黑体" w:eastAsia="黑体"/>
          <w:bCs/>
          <w:sz w:val="18"/>
          <w:szCs w:val="18"/>
          <w:highlight w:val="none"/>
        </w:rPr>
        <w:t>投资者</w:t>
      </w:r>
      <w:r>
        <w:rPr>
          <w:rFonts w:ascii="黑体" w:hAnsi="黑体" w:eastAsia="黑体"/>
          <w:bCs/>
          <w:sz w:val="18"/>
          <w:szCs w:val="18"/>
          <w:highlight w:val="none"/>
        </w:rPr>
        <w:t>的，将依据本协议书投资者信息中</w:t>
      </w:r>
      <w:r>
        <w:rPr>
          <w:rFonts w:hint="eastAsia" w:ascii="黑体" w:hAnsi="黑体" w:eastAsia="黑体"/>
          <w:bCs/>
          <w:sz w:val="18"/>
          <w:szCs w:val="18"/>
          <w:highlight w:val="none"/>
        </w:rPr>
        <w:t>投资者</w:t>
      </w:r>
      <w:r>
        <w:rPr>
          <w:rFonts w:ascii="黑体" w:hAnsi="黑体" w:eastAsia="黑体"/>
          <w:bCs/>
          <w:sz w:val="18"/>
          <w:szCs w:val="18"/>
          <w:highlight w:val="none"/>
        </w:rPr>
        <w:t>预留的</w:t>
      </w:r>
      <w:r>
        <w:rPr>
          <w:rFonts w:hint="eastAsia" w:ascii="黑体" w:hAnsi="黑体" w:eastAsia="黑体"/>
          <w:bCs/>
          <w:sz w:val="18"/>
          <w:szCs w:val="18"/>
          <w:highlight w:val="none"/>
        </w:rPr>
        <w:t>信息</w:t>
      </w:r>
      <w:r>
        <w:rPr>
          <w:rFonts w:ascii="黑体" w:hAnsi="黑体" w:eastAsia="黑体"/>
          <w:bCs/>
          <w:sz w:val="18"/>
          <w:szCs w:val="18"/>
          <w:highlight w:val="none"/>
        </w:rPr>
        <w:t>进行通知。因</w:t>
      </w:r>
      <w:r>
        <w:rPr>
          <w:rFonts w:hint="eastAsia" w:ascii="黑体" w:hAnsi="黑体" w:eastAsia="黑体"/>
          <w:bCs/>
          <w:sz w:val="18"/>
          <w:szCs w:val="18"/>
          <w:highlight w:val="none"/>
        </w:rPr>
        <w:t>投资者</w:t>
      </w:r>
      <w:r>
        <w:rPr>
          <w:rFonts w:ascii="黑体" w:hAnsi="黑体" w:eastAsia="黑体"/>
          <w:bCs/>
          <w:sz w:val="18"/>
          <w:szCs w:val="18"/>
          <w:highlight w:val="none"/>
        </w:rPr>
        <w:t>原因而导致该等通知失败的，</w:t>
      </w:r>
      <w:r>
        <w:rPr>
          <w:rFonts w:hint="eastAsia" w:ascii="黑体" w:hAnsi="黑体" w:eastAsia="黑体"/>
          <w:bCs/>
          <w:sz w:val="18"/>
          <w:szCs w:val="18"/>
          <w:highlight w:val="none"/>
        </w:rPr>
        <w:t>产品管理人</w:t>
      </w:r>
      <w:r>
        <w:rPr>
          <w:rFonts w:ascii="黑体" w:hAnsi="黑体" w:eastAsia="黑体"/>
          <w:bCs/>
          <w:sz w:val="18"/>
          <w:szCs w:val="18"/>
          <w:highlight w:val="none"/>
        </w:rPr>
        <w:t>不承担相应责任。</w:t>
      </w:r>
    </w:p>
    <w:p>
      <w:pPr>
        <w:ind w:firstLine="360"/>
        <w:rPr>
          <w:rFonts w:ascii="宋体" w:hAnsi="宋体"/>
          <w:bCs/>
          <w:sz w:val="18"/>
          <w:szCs w:val="18"/>
          <w:highlight w:val="none"/>
        </w:rPr>
      </w:pPr>
      <w:r>
        <w:rPr>
          <w:rFonts w:ascii="宋体" w:hAnsi="宋体"/>
          <w:bCs/>
          <w:sz w:val="18"/>
          <w:szCs w:val="18"/>
          <w:highlight w:val="none"/>
        </w:rPr>
        <w:t>3.投资者应定期通过约定的信息披露渠道获知有关理财产品相关信息。以上相关信息自披露之日即视为已送达投资者，也视为产品管理人</w:t>
      </w:r>
      <w:r>
        <w:rPr>
          <w:rFonts w:hint="eastAsia" w:ascii="宋体" w:hAnsi="宋体"/>
          <w:bCs/>
          <w:sz w:val="18"/>
          <w:szCs w:val="18"/>
          <w:highlight w:val="none"/>
        </w:rPr>
        <w:t>已适当披露理财产品相关信息。投资者承诺将及时接收、浏览和阅读该等信息。如投资者对本产品的运作状况有任何疑问，可向产品管理人或销售机构进行咨询。</w:t>
      </w:r>
    </w:p>
    <w:p>
      <w:pPr>
        <w:ind w:firstLine="360"/>
        <w:rPr>
          <w:rFonts w:ascii="宋体" w:hAnsi="宋体"/>
          <w:bCs/>
          <w:sz w:val="18"/>
          <w:szCs w:val="18"/>
          <w:highlight w:val="none"/>
        </w:rPr>
      </w:pPr>
      <w:r>
        <w:rPr>
          <w:rFonts w:ascii="宋体" w:hAnsi="宋体"/>
          <w:bCs/>
          <w:sz w:val="18"/>
          <w:szCs w:val="18"/>
          <w:highlight w:val="none"/>
        </w:rPr>
        <w:t>4.产品管理人保留变更信息披露渠道的权利。</w:t>
      </w:r>
    </w:p>
    <w:p>
      <w:pPr>
        <w:ind w:firstLine="361"/>
        <w:rPr>
          <w:rFonts w:ascii="宋体" w:hAnsi="宋体"/>
          <w:b/>
          <w:bCs/>
          <w:sz w:val="18"/>
          <w:szCs w:val="18"/>
          <w:highlight w:val="none"/>
        </w:rPr>
      </w:pPr>
      <w:r>
        <w:rPr>
          <w:rFonts w:hint="eastAsia" w:ascii="宋体" w:hAnsi="宋体"/>
          <w:b/>
          <w:bCs/>
          <w:sz w:val="18"/>
          <w:szCs w:val="18"/>
          <w:highlight w:val="none"/>
        </w:rPr>
        <w:t>（三）信息披露的内容</w:t>
      </w:r>
    </w:p>
    <w:p>
      <w:pPr>
        <w:ind w:firstLine="360"/>
        <w:rPr>
          <w:rFonts w:ascii="宋体" w:hAnsi="宋体"/>
          <w:bCs/>
          <w:sz w:val="18"/>
          <w:szCs w:val="18"/>
          <w:highlight w:val="none"/>
        </w:rPr>
      </w:pPr>
      <w:r>
        <w:rPr>
          <w:rFonts w:hint="eastAsia" w:ascii="宋体" w:hAnsi="宋体"/>
          <w:bCs/>
          <w:sz w:val="18"/>
          <w:szCs w:val="18"/>
          <w:highlight w:val="none"/>
        </w:rPr>
        <w:t>理财产品信息披露</w:t>
      </w:r>
      <w:r>
        <w:rPr>
          <w:rFonts w:ascii="宋体" w:hAnsi="宋体"/>
          <w:bCs/>
          <w:sz w:val="18"/>
          <w:szCs w:val="18"/>
          <w:highlight w:val="none"/>
        </w:rPr>
        <w:t>包括但不限于产品成立、产品终止、</w:t>
      </w:r>
      <w:r>
        <w:rPr>
          <w:rFonts w:hint="eastAsia" w:ascii="宋体" w:hAnsi="宋体"/>
          <w:bCs/>
          <w:sz w:val="18"/>
          <w:szCs w:val="18"/>
          <w:highlight w:val="none"/>
        </w:rPr>
        <w:t>募集信息、产品份额净值、暂停申购或赎回、投资对象和比例、杠杆水平、利益分配、托管安排、投资账户信息、主要投资风险、估值方法变更、收费标准变更等信息。</w:t>
      </w:r>
    </w:p>
    <w:p>
      <w:pPr>
        <w:ind w:firstLine="361"/>
        <w:rPr>
          <w:rFonts w:ascii="宋体" w:hAnsi="宋体"/>
          <w:b/>
          <w:bCs/>
          <w:sz w:val="18"/>
          <w:szCs w:val="18"/>
          <w:highlight w:val="none"/>
        </w:rPr>
      </w:pPr>
      <w:r>
        <w:rPr>
          <w:rFonts w:hint="eastAsia" w:ascii="宋体" w:hAnsi="宋体"/>
          <w:b/>
          <w:bCs/>
          <w:sz w:val="18"/>
          <w:szCs w:val="18"/>
          <w:highlight w:val="none"/>
        </w:rPr>
        <w:t>（四）信息披露的频率和时间</w:t>
      </w:r>
    </w:p>
    <w:p>
      <w:pPr>
        <w:ind w:firstLine="360"/>
        <w:rPr>
          <w:rFonts w:ascii="宋体" w:hAnsi="宋体"/>
          <w:bCs/>
          <w:sz w:val="18"/>
          <w:szCs w:val="18"/>
          <w:highlight w:val="none"/>
        </w:rPr>
      </w:pPr>
      <w:r>
        <w:rPr>
          <w:rFonts w:ascii="宋体" w:hAnsi="宋体"/>
          <w:bCs/>
          <w:sz w:val="18"/>
          <w:szCs w:val="18"/>
          <w:highlight w:val="none"/>
        </w:rPr>
        <w:t>1.产品成立公告</w:t>
      </w:r>
    </w:p>
    <w:p>
      <w:pPr>
        <w:ind w:firstLine="360"/>
        <w:rPr>
          <w:rFonts w:ascii="宋体" w:hAnsi="宋体"/>
          <w:bCs/>
          <w:sz w:val="18"/>
          <w:szCs w:val="18"/>
          <w:highlight w:val="none"/>
        </w:rPr>
      </w:pPr>
      <w:r>
        <w:rPr>
          <w:rFonts w:hint="eastAsia" w:ascii="宋体" w:hAnsi="宋体"/>
          <w:bCs/>
          <w:sz w:val="18"/>
          <w:szCs w:val="18"/>
          <w:highlight w:val="none"/>
        </w:rPr>
        <w:t>本产品成立后</w:t>
      </w:r>
      <w:r>
        <w:rPr>
          <w:rFonts w:ascii="宋体" w:hAnsi="宋体"/>
          <w:bCs/>
          <w:sz w:val="18"/>
          <w:szCs w:val="18"/>
          <w:highlight w:val="none"/>
        </w:rPr>
        <w:t>5个工作日内，产品管理人将发布产品成立公告。</w:t>
      </w:r>
    </w:p>
    <w:p>
      <w:pPr>
        <w:ind w:firstLine="360"/>
        <w:rPr>
          <w:rFonts w:ascii="宋体" w:hAnsi="宋体"/>
          <w:bCs/>
          <w:sz w:val="18"/>
          <w:szCs w:val="18"/>
          <w:highlight w:val="none"/>
        </w:rPr>
      </w:pPr>
      <w:r>
        <w:rPr>
          <w:rFonts w:ascii="宋体" w:hAnsi="宋体"/>
          <w:bCs/>
          <w:sz w:val="18"/>
          <w:szCs w:val="18"/>
          <w:highlight w:val="none"/>
        </w:rPr>
        <w:t>2.重大事项</w:t>
      </w:r>
      <w:r>
        <w:rPr>
          <w:rFonts w:hint="eastAsia" w:ascii="宋体" w:hAnsi="宋体"/>
          <w:bCs/>
          <w:sz w:val="18"/>
          <w:szCs w:val="18"/>
          <w:highlight w:val="none"/>
        </w:rPr>
        <w:t>公告</w:t>
      </w:r>
    </w:p>
    <w:p>
      <w:pPr>
        <w:ind w:firstLine="360"/>
        <w:rPr>
          <w:rFonts w:ascii="宋体" w:hAnsi="宋体"/>
          <w:bCs/>
          <w:sz w:val="18"/>
          <w:szCs w:val="18"/>
          <w:highlight w:val="none"/>
        </w:rPr>
      </w:pPr>
      <w:r>
        <w:rPr>
          <w:rFonts w:hint="eastAsia" w:ascii="宋体" w:hAnsi="宋体"/>
          <w:bCs/>
          <w:sz w:val="18"/>
          <w:szCs w:val="18"/>
          <w:highlight w:val="none"/>
        </w:rPr>
        <w:t>在发生可能对理财产品投资者或者理财产品收益产生重大影响的事件后</w:t>
      </w:r>
      <w:r>
        <w:rPr>
          <w:rFonts w:ascii="宋体" w:hAnsi="宋体"/>
          <w:bCs/>
          <w:sz w:val="18"/>
          <w:szCs w:val="18"/>
          <w:highlight w:val="none"/>
        </w:rPr>
        <w:t>2个工作日内发布重大事项公告。</w:t>
      </w:r>
    </w:p>
    <w:p>
      <w:pPr>
        <w:ind w:firstLine="360"/>
        <w:rPr>
          <w:rFonts w:ascii="宋体" w:hAnsi="宋体"/>
          <w:bCs/>
          <w:sz w:val="18"/>
          <w:szCs w:val="18"/>
          <w:highlight w:val="none"/>
        </w:rPr>
      </w:pPr>
      <w:r>
        <w:rPr>
          <w:rFonts w:ascii="宋体" w:hAnsi="宋体"/>
          <w:bCs/>
          <w:sz w:val="18"/>
          <w:szCs w:val="18"/>
          <w:highlight w:val="none"/>
        </w:rPr>
        <w:t>3.定期报告</w:t>
      </w:r>
    </w:p>
    <w:p>
      <w:pPr>
        <w:ind w:firstLine="360"/>
        <w:rPr>
          <w:rFonts w:ascii="宋体" w:hAnsi="宋体"/>
          <w:bCs/>
          <w:sz w:val="18"/>
          <w:szCs w:val="18"/>
          <w:highlight w:val="none"/>
        </w:rPr>
      </w:pPr>
      <w:r>
        <w:rPr>
          <w:rFonts w:hint="eastAsia" w:ascii="宋体" w:hAnsi="宋体"/>
          <w:bCs/>
          <w:sz w:val="18"/>
          <w:szCs w:val="18"/>
          <w:highlight w:val="none"/>
        </w:rPr>
        <w:t>定期报告分为</w:t>
      </w:r>
      <w:r>
        <w:rPr>
          <w:rFonts w:ascii="宋体" w:hAnsi="宋体"/>
          <w:bCs/>
          <w:sz w:val="18"/>
          <w:szCs w:val="18"/>
          <w:highlight w:val="none"/>
        </w:rPr>
        <w:t>季度、半年度和年度定期报告。</w:t>
      </w:r>
      <w:r>
        <w:rPr>
          <w:rFonts w:hint="eastAsia" w:ascii="宋体" w:hAnsi="宋体"/>
          <w:bCs/>
          <w:sz w:val="18"/>
          <w:szCs w:val="18"/>
          <w:highlight w:val="none"/>
        </w:rPr>
        <w:t>产品成立超过</w:t>
      </w:r>
      <w:r>
        <w:rPr>
          <w:rFonts w:ascii="宋体" w:hAnsi="宋体"/>
          <w:bCs/>
          <w:sz w:val="18"/>
          <w:szCs w:val="18"/>
          <w:highlight w:val="none"/>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ind w:firstLine="360"/>
        <w:rPr>
          <w:rFonts w:ascii="宋体" w:hAnsi="宋体"/>
          <w:bCs/>
          <w:sz w:val="18"/>
          <w:szCs w:val="18"/>
          <w:highlight w:val="none"/>
        </w:rPr>
      </w:pPr>
      <w:r>
        <w:rPr>
          <w:rFonts w:ascii="宋体" w:hAnsi="宋体"/>
          <w:bCs/>
          <w:sz w:val="18"/>
          <w:szCs w:val="18"/>
          <w:highlight w:val="none"/>
        </w:rPr>
        <w:t>4.到期公告</w:t>
      </w:r>
    </w:p>
    <w:p>
      <w:pPr>
        <w:ind w:firstLine="360"/>
        <w:rPr>
          <w:rFonts w:ascii="宋体" w:hAnsi="宋体"/>
          <w:bCs/>
          <w:sz w:val="18"/>
          <w:szCs w:val="18"/>
          <w:highlight w:val="none"/>
        </w:rPr>
      </w:pPr>
      <w:r>
        <w:rPr>
          <w:rFonts w:hint="eastAsia" w:ascii="宋体" w:hAnsi="宋体"/>
          <w:bCs/>
          <w:sz w:val="18"/>
          <w:szCs w:val="18"/>
          <w:highlight w:val="none"/>
        </w:rPr>
        <w:t>如果产品管理人主动提前终止本产品，产品管理人将提前</w:t>
      </w:r>
      <w:r>
        <w:rPr>
          <w:rFonts w:ascii="宋体" w:hAnsi="宋体"/>
          <w:bCs/>
          <w:sz w:val="18"/>
          <w:szCs w:val="18"/>
          <w:highlight w:val="none"/>
        </w:rPr>
        <w:t>2个工作日进行公告。本产品终止后5个工作日内，产品管理人发布产品到期公告。</w:t>
      </w:r>
    </w:p>
    <w:p>
      <w:pPr>
        <w:ind w:firstLine="360"/>
        <w:rPr>
          <w:rFonts w:ascii="宋体" w:hAnsi="宋体"/>
          <w:bCs/>
          <w:sz w:val="18"/>
          <w:szCs w:val="18"/>
          <w:highlight w:val="none"/>
        </w:rPr>
      </w:pPr>
      <w:r>
        <w:rPr>
          <w:rFonts w:ascii="宋体" w:hAnsi="宋体"/>
          <w:bCs/>
          <w:sz w:val="18"/>
          <w:szCs w:val="18"/>
          <w:highlight w:val="none"/>
        </w:rPr>
        <w:t>5.开放日公告</w:t>
      </w:r>
    </w:p>
    <w:p>
      <w:pPr>
        <w:ind w:firstLine="360"/>
        <w:rPr>
          <w:rFonts w:ascii="宋体" w:hAnsi="宋体"/>
          <w:bCs/>
          <w:sz w:val="18"/>
          <w:szCs w:val="18"/>
          <w:highlight w:val="none"/>
        </w:rPr>
      </w:pPr>
      <w:r>
        <w:rPr>
          <w:rFonts w:hint="eastAsia" w:ascii="宋体" w:hAnsi="宋体"/>
          <w:sz w:val="18"/>
          <w:szCs w:val="18"/>
          <w:highlight w:val="none"/>
        </w:rPr>
        <w:t>产品管理人</w:t>
      </w:r>
      <w:r>
        <w:rPr>
          <w:rFonts w:hint="eastAsia" w:ascii="宋体" w:hAnsi="宋体"/>
          <w:bCs/>
          <w:sz w:val="18"/>
          <w:szCs w:val="18"/>
          <w:highlight w:val="none"/>
        </w:rPr>
        <w:t>在申购日</w:t>
      </w:r>
      <w:r>
        <w:rPr>
          <w:rFonts w:ascii="宋体" w:hAnsi="宋体"/>
          <w:bCs/>
          <w:sz w:val="18"/>
          <w:szCs w:val="18"/>
          <w:highlight w:val="none"/>
        </w:rPr>
        <w:t>/赎回日结束后2个工作日内披露开放日公告，公告内容包括申购日/赎回日</w:t>
      </w:r>
      <w:r>
        <w:rPr>
          <w:rFonts w:hint="eastAsia" w:ascii="宋体" w:hAnsi="宋体"/>
          <w:bCs/>
          <w:sz w:val="18"/>
          <w:szCs w:val="18"/>
          <w:highlight w:val="none"/>
        </w:rPr>
        <w:t>的产品份额净值、产品份额累计净值、业绩比较基准（如有）、业绩报酬计提基准（如有）等。</w:t>
      </w:r>
    </w:p>
    <w:p>
      <w:pPr>
        <w:ind w:firstLine="360"/>
        <w:rPr>
          <w:rFonts w:ascii="宋体" w:hAnsi="宋体"/>
          <w:bCs/>
          <w:sz w:val="18"/>
          <w:szCs w:val="18"/>
          <w:highlight w:val="none"/>
        </w:rPr>
      </w:pPr>
      <w:r>
        <w:rPr>
          <w:rFonts w:hint="eastAsia" w:ascii="宋体" w:hAnsi="宋体"/>
          <w:bCs/>
          <w:sz w:val="18"/>
          <w:szCs w:val="18"/>
          <w:highlight w:val="none"/>
        </w:rPr>
        <w:t>6</w:t>
      </w:r>
      <w:r>
        <w:rPr>
          <w:rFonts w:ascii="宋体" w:hAnsi="宋体"/>
          <w:bCs/>
          <w:sz w:val="18"/>
          <w:szCs w:val="18"/>
          <w:highlight w:val="none"/>
        </w:rPr>
        <w:t>.估值日公告</w:t>
      </w:r>
    </w:p>
    <w:p>
      <w:pPr>
        <w:ind w:firstLine="360"/>
        <w:rPr>
          <w:rFonts w:ascii="宋体" w:hAnsi="宋体"/>
          <w:bCs/>
          <w:sz w:val="18"/>
          <w:szCs w:val="18"/>
          <w:highlight w:val="none"/>
        </w:rPr>
      </w:pPr>
      <w:r>
        <w:rPr>
          <w:rFonts w:hint="eastAsia" w:ascii="宋体" w:hAnsi="宋体"/>
          <w:bCs/>
          <w:sz w:val="18"/>
          <w:szCs w:val="18"/>
          <w:highlight w:val="none"/>
        </w:rPr>
        <w:t>产品</w:t>
      </w:r>
      <w:r>
        <w:rPr>
          <w:rFonts w:ascii="宋体" w:hAnsi="宋体"/>
          <w:bCs/>
          <w:sz w:val="18"/>
          <w:szCs w:val="18"/>
          <w:highlight w:val="none"/>
        </w:rPr>
        <w:t>存续</w:t>
      </w:r>
      <w:r>
        <w:rPr>
          <w:rFonts w:hint="eastAsia" w:ascii="宋体" w:hAnsi="宋体"/>
          <w:bCs/>
          <w:sz w:val="18"/>
          <w:szCs w:val="18"/>
          <w:highlight w:val="none"/>
        </w:rPr>
        <w:t>期间，每周向投资者披露一次估值日公告，估值日公告披露的内容包括估值日的产品份额净值、产品份额累计净值、业绩比较基准（如有）、</w:t>
      </w:r>
      <w:r>
        <w:rPr>
          <w:rFonts w:ascii="宋体" w:hAnsi="宋体"/>
          <w:bCs/>
          <w:sz w:val="18"/>
          <w:szCs w:val="18"/>
          <w:highlight w:val="none"/>
        </w:rPr>
        <w:t>业绩报酬计提</w:t>
      </w:r>
      <w:r>
        <w:rPr>
          <w:rFonts w:hint="eastAsia" w:ascii="宋体" w:hAnsi="宋体"/>
          <w:bCs/>
          <w:sz w:val="18"/>
          <w:szCs w:val="18"/>
          <w:highlight w:val="none"/>
        </w:rPr>
        <w:t>基准</w:t>
      </w:r>
      <w:r>
        <w:rPr>
          <w:rFonts w:ascii="宋体" w:hAnsi="宋体"/>
          <w:bCs/>
          <w:sz w:val="18"/>
          <w:szCs w:val="18"/>
          <w:highlight w:val="none"/>
        </w:rPr>
        <w:t>（</w:t>
      </w:r>
      <w:r>
        <w:rPr>
          <w:rFonts w:hint="eastAsia" w:ascii="宋体" w:hAnsi="宋体"/>
          <w:bCs/>
          <w:sz w:val="18"/>
          <w:szCs w:val="18"/>
          <w:highlight w:val="none"/>
        </w:rPr>
        <w:t>如有</w:t>
      </w:r>
      <w:r>
        <w:rPr>
          <w:rFonts w:ascii="宋体" w:hAnsi="宋体"/>
          <w:bCs/>
          <w:sz w:val="18"/>
          <w:szCs w:val="18"/>
          <w:highlight w:val="none"/>
        </w:rPr>
        <w:t>）</w:t>
      </w:r>
      <w:r>
        <w:rPr>
          <w:rFonts w:hint="eastAsia" w:ascii="宋体" w:hAnsi="宋体"/>
          <w:bCs/>
          <w:sz w:val="18"/>
          <w:szCs w:val="18"/>
          <w:highlight w:val="none"/>
        </w:rPr>
        <w:t>等。如遇法定节假日顺延。此外，如遇其他特殊情况，以产品管理人信息披露为准。</w:t>
      </w:r>
      <w:r>
        <w:rPr>
          <w:rFonts w:ascii="宋体" w:hAnsi="宋体"/>
          <w:bCs/>
          <w:sz w:val="18"/>
          <w:szCs w:val="18"/>
          <w:highlight w:val="none"/>
        </w:rPr>
        <w:t xml:space="preserve"> </w:t>
      </w:r>
    </w:p>
    <w:p>
      <w:pPr>
        <w:ind w:firstLine="360"/>
        <w:rPr>
          <w:rFonts w:ascii="宋体" w:hAnsi="宋体"/>
          <w:bCs/>
          <w:sz w:val="18"/>
          <w:szCs w:val="18"/>
          <w:highlight w:val="none"/>
        </w:rPr>
      </w:pPr>
      <w:r>
        <w:rPr>
          <w:rFonts w:ascii="宋体" w:hAnsi="宋体"/>
          <w:bCs/>
          <w:sz w:val="18"/>
          <w:szCs w:val="18"/>
          <w:highlight w:val="none"/>
        </w:rPr>
        <w:t>7.临时公告</w:t>
      </w:r>
    </w:p>
    <w:p>
      <w:pPr>
        <w:ind w:firstLine="361"/>
        <w:rPr>
          <w:rFonts w:ascii="黑体" w:hAnsi="黑体" w:eastAsia="黑体"/>
          <w:b/>
          <w:bCs/>
          <w:sz w:val="18"/>
          <w:szCs w:val="18"/>
          <w:highlight w:val="none"/>
        </w:rPr>
      </w:pPr>
      <w:r>
        <w:rPr>
          <w:rFonts w:hint="eastAsia" w:ascii="黑体" w:hAnsi="黑体" w:eastAsia="黑体"/>
          <w:b/>
          <w:bCs/>
          <w:sz w:val="18"/>
          <w:szCs w:val="18"/>
          <w:highlight w:val="none"/>
        </w:rPr>
        <w:t>（</w:t>
      </w:r>
      <w:r>
        <w:rPr>
          <w:rFonts w:ascii="黑体" w:hAnsi="黑体" w:eastAsia="黑体"/>
          <w:b/>
          <w:bCs/>
          <w:sz w:val="18"/>
          <w:szCs w:val="18"/>
          <w:highlight w:val="none"/>
        </w:rPr>
        <w:t>1）</w:t>
      </w:r>
      <w:r>
        <w:rPr>
          <w:rFonts w:hint="eastAsia" w:ascii="黑体" w:hAnsi="黑体" w:eastAsia="黑体"/>
          <w:b/>
          <w:bCs/>
          <w:sz w:val="18"/>
          <w:szCs w:val="18"/>
          <w:highlight w:val="none"/>
        </w:rPr>
        <w:t>★产品管理人</w:t>
      </w:r>
      <w:r>
        <w:rPr>
          <w:rFonts w:ascii="黑体" w:hAnsi="黑体" w:eastAsia="黑体"/>
          <w:b/>
          <w:bCs/>
          <w:sz w:val="18"/>
          <w:szCs w:val="18"/>
          <w:highlight w:val="none"/>
        </w:rPr>
        <w:t>对</w:t>
      </w:r>
      <w:r>
        <w:rPr>
          <w:rFonts w:hint="eastAsia" w:ascii="黑体" w:hAnsi="黑体" w:eastAsia="黑体"/>
          <w:b/>
          <w:bCs/>
          <w:sz w:val="18"/>
          <w:szCs w:val="18"/>
          <w:highlight w:val="none"/>
        </w:rPr>
        <w:t>投资范围、投资资产种类、</w:t>
      </w:r>
      <w:r>
        <w:rPr>
          <w:rFonts w:ascii="黑体" w:hAnsi="黑体" w:eastAsia="黑体"/>
          <w:b/>
          <w:bCs/>
          <w:sz w:val="18"/>
          <w:szCs w:val="18"/>
          <w:highlight w:val="none"/>
        </w:rPr>
        <w:t>投资</w:t>
      </w:r>
      <w:r>
        <w:rPr>
          <w:rFonts w:hint="eastAsia" w:ascii="黑体" w:hAnsi="黑体" w:eastAsia="黑体"/>
          <w:b/>
          <w:bCs/>
          <w:sz w:val="18"/>
          <w:szCs w:val="18"/>
          <w:highlight w:val="none"/>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highlight w:val="none"/>
        </w:rPr>
        <w:t>2个工作日发布变更公告</w:t>
      </w:r>
      <w:r>
        <w:rPr>
          <w:rFonts w:hint="eastAsia" w:ascii="黑体" w:hAnsi="黑体" w:eastAsia="黑体"/>
          <w:b/>
          <w:bCs/>
          <w:sz w:val="18"/>
          <w:szCs w:val="18"/>
          <w:highlight w:val="none"/>
        </w:rPr>
        <w:t>。</w:t>
      </w:r>
    </w:p>
    <w:p>
      <w:pPr>
        <w:ind w:firstLine="361"/>
        <w:rPr>
          <w:rFonts w:ascii="黑体" w:hAnsi="黑体" w:eastAsia="黑体"/>
          <w:b/>
          <w:bCs/>
          <w:sz w:val="18"/>
          <w:szCs w:val="18"/>
          <w:highlight w:val="none"/>
        </w:rPr>
      </w:pPr>
      <w:r>
        <w:rPr>
          <w:rFonts w:hint="eastAsia" w:ascii="黑体" w:hAnsi="黑体" w:eastAsia="黑体"/>
          <w:b/>
          <w:bCs/>
          <w:sz w:val="18"/>
          <w:szCs w:val="18"/>
          <w:highlight w:val="none"/>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ind w:firstLine="360"/>
        <w:rPr>
          <w:rFonts w:ascii="宋体" w:hAnsi="宋体"/>
          <w:bCs/>
          <w:sz w:val="18"/>
          <w:szCs w:val="18"/>
          <w:highlight w:val="none"/>
        </w:rPr>
      </w:pPr>
      <w:r>
        <w:rPr>
          <w:rFonts w:hint="eastAsia" w:ascii="宋体" w:hAnsi="宋体"/>
          <w:bCs/>
          <w:sz w:val="18"/>
          <w:szCs w:val="18"/>
          <w:highlight w:val="none"/>
        </w:rPr>
        <w:t>（</w:t>
      </w:r>
      <w:r>
        <w:rPr>
          <w:rFonts w:ascii="宋体" w:hAnsi="宋体"/>
          <w:bCs/>
          <w:sz w:val="18"/>
          <w:szCs w:val="18"/>
          <w:highlight w:val="none"/>
        </w:rPr>
        <w:t>2）在发生</w:t>
      </w:r>
      <w:r>
        <w:rPr>
          <w:rFonts w:hint="eastAsia" w:ascii="宋体" w:hAnsi="宋体"/>
          <w:sz w:val="18"/>
          <w:szCs w:val="18"/>
          <w:highlight w:val="none"/>
        </w:rPr>
        <w:t>产品管理人</w:t>
      </w:r>
      <w:r>
        <w:rPr>
          <w:rFonts w:hint="eastAsia" w:ascii="宋体" w:hAnsi="宋体"/>
          <w:bCs/>
          <w:sz w:val="18"/>
          <w:szCs w:val="18"/>
          <w:highlight w:val="none"/>
        </w:rPr>
        <w:t>拒绝或暂停接受</w:t>
      </w:r>
      <w:r>
        <w:rPr>
          <w:rFonts w:ascii="宋体" w:hAnsi="宋体"/>
          <w:bCs/>
          <w:sz w:val="18"/>
          <w:szCs w:val="18"/>
          <w:highlight w:val="none"/>
        </w:rPr>
        <w:t>投资者</w:t>
      </w:r>
      <w:r>
        <w:rPr>
          <w:rFonts w:hint="eastAsia" w:ascii="宋体" w:hAnsi="宋体"/>
          <w:bCs/>
          <w:sz w:val="18"/>
          <w:szCs w:val="18"/>
          <w:highlight w:val="none"/>
        </w:rPr>
        <w:t>认购</w:t>
      </w:r>
      <w:r>
        <w:rPr>
          <w:rFonts w:ascii="宋体" w:hAnsi="宋体"/>
          <w:bCs/>
          <w:sz w:val="18"/>
          <w:szCs w:val="18"/>
          <w:highlight w:val="none"/>
        </w:rPr>
        <w:t>/申购</w:t>
      </w:r>
      <w:r>
        <w:rPr>
          <w:rFonts w:hint="eastAsia" w:ascii="宋体" w:hAnsi="宋体"/>
          <w:bCs/>
          <w:sz w:val="18"/>
          <w:szCs w:val="18"/>
          <w:highlight w:val="none"/>
        </w:rPr>
        <w:t>申请、暂停接受</w:t>
      </w:r>
      <w:r>
        <w:rPr>
          <w:rFonts w:ascii="宋体" w:hAnsi="宋体"/>
          <w:bCs/>
          <w:sz w:val="18"/>
          <w:szCs w:val="18"/>
          <w:highlight w:val="none"/>
        </w:rPr>
        <w:t>投资者</w:t>
      </w:r>
      <w:r>
        <w:rPr>
          <w:rFonts w:hint="eastAsia" w:ascii="宋体" w:hAnsi="宋体"/>
          <w:bCs/>
          <w:sz w:val="18"/>
          <w:szCs w:val="18"/>
          <w:highlight w:val="none"/>
        </w:rPr>
        <w:t>赎回申请或延缓支付赎回款项、</w:t>
      </w:r>
      <w:r>
        <w:rPr>
          <w:rFonts w:ascii="宋体" w:hAnsi="宋体"/>
          <w:bCs/>
          <w:sz w:val="18"/>
          <w:szCs w:val="18"/>
          <w:highlight w:val="none"/>
        </w:rPr>
        <w:t>巨额赎回等</w:t>
      </w:r>
      <w:r>
        <w:rPr>
          <w:rFonts w:hint="eastAsia" w:ascii="宋体" w:hAnsi="宋体"/>
          <w:bCs/>
          <w:sz w:val="18"/>
          <w:szCs w:val="18"/>
          <w:highlight w:val="none"/>
        </w:rPr>
        <w:t>情形</w:t>
      </w:r>
      <w:r>
        <w:rPr>
          <w:rFonts w:ascii="宋体" w:hAnsi="宋体"/>
          <w:bCs/>
          <w:sz w:val="18"/>
          <w:szCs w:val="18"/>
          <w:highlight w:val="none"/>
        </w:rPr>
        <w:t>时，</w:t>
      </w:r>
      <w:r>
        <w:rPr>
          <w:rFonts w:hint="eastAsia" w:ascii="宋体" w:hAnsi="宋体"/>
          <w:sz w:val="18"/>
          <w:szCs w:val="18"/>
          <w:highlight w:val="none"/>
        </w:rPr>
        <w:t>产品管理人</w:t>
      </w:r>
      <w:r>
        <w:rPr>
          <w:rFonts w:hint="eastAsia" w:ascii="宋体" w:hAnsi="宋体"/>
          <w:bCs/>
          <w:sz w:val="18"/>
          <w:szCs w:val="18"/>
          <w:highlight w:val="none"/>
        </w:rPr>
        <w:t>将</w:t>
      </w:r>
      <w:r>
        <w:rPr>
          <w:rFonts w:ascii="宋体" w:hAnsi="宋体"/>
          <w:bCs/>
          <w:sz w:val="18"/>
          <w:szCs w:val="18"/>
          <w:highlight w:val="none"/>
        </w:rPr>
        <w:t>于3个工作日</w:t>
      </w:r>
      <w:r>
        <w:rPr>
          <w:rFonts w:hint="eastAsia" w:ascii="宋体" w:hAnsi="宋体"/>
          <w:bCs/>
          <w:sz w:val="18"/>
          <w:szCs w:val="18"/>
          <w:highlight w:val="none"/>
        </w:rPr>
        <w:t>内</w:t>
      </w:r>
      <w:r>
        <w:rPr>
          <w:rFonts w:ascii="宋体" w:hAnsi="宋体"/>
          <w:bCs/>
          <w:sz w:val="18"/>
          <w:szCs w:val="18"/>
          <w:highlight w:val="none"/>
        </w:rPr>
        <w:t>发布相关信息</w:t>
      </w:r>
      <w:r>
        <w:rPr>
          <w:rFonts w:hint="eastAsia" w:ascii="宋体" w:hAnsi="宋体"/>
          <w:bCs/>
          <w:sz w:val="18"/>
          <w:szCs w:val="18"/>
          <w:highlight w:val="none"/>
        </w:rPr>
        <w:t>及</w:t>
      </w:r>
      <w:r>
        <w:rPr>
          <w:rFonts w:ascii="宋体" w:hAnsi="宋体"/>
          <w:bCs/>
          <w:sz w:val="18"/>
          <w:szCs w:val="18"/>
          <w:highlight w:val="none"/>
        </w:rPr>
        <w:t>处理措施。</w:t>
      </w:r>
    </w:p>
    <w:p>
      <w:pPr>
        <w:ind w:firstLine="360"/>
        <w:rPr>
          <w:rFonts w:ascii="宋体" w:hAnsi="宋体"/>
          <w:bCs/>
          <w:sz w:val="18"/>
          <w:szCs w:val="18"/>
          <w:highlight w:val="none"/>
        </w:rPr>
      </w:pPr>
      <w:r>
        <w:rPr>
          <w:rFonts w:hint="eastAsia" w:ascii="宋体" w:hAnsi="宋体"/>
          <w:bCs/>
          <w:sz w:val="18"/>
          <w:szCs w:val="18"/>
          <w:highlight w:val="none"/>
        </w:rPr>
        <w:t>（</w:t>
      </w:r>
      <w:r>
        <w:rPr>
          <w:rFonts w:ascii="宋体" w:hAnsi="宋体"/>
          <w:bCs/>
          <w:sz w:val="18"/>
          <w:szCs w:val="18"/>
          <w:highlight w:val="none"/>
        </w:rPr>
        <w:t>3）理财产品清算期超过5个工作日的，产品管理人应当在理财产品终止前，根据与投资者的约定，在指定渠道向理财产品投资者进行披露。</w:t>
      </w:r>
    </w:p>
    <w:p>
      <w:pPr>
        <w:ind w:firstLine="361"/>
        <w:rPr>
          <w:rFonts w:ascii="黑体" w:hAnsi="黑体" w:eastAsia="黑体"/>
          <w:b/>
          <w:bCs/>
          <w:sz w:val="18"/>
          <w:szCs w:val="18"/>
          <w:highlight w:val="none"/>
        </w:rPr>
      </w:pPr>
      <w:r>
        <w:rPr>
          <w:rFonts w:hint="eastAsia" w:ascii="黑体" w:hAnsi="黑体" w:eastAsia="黑体"/>
          <w:b/>
          <w:bCs/>
          <w:sz w:val="18"/>
          <w:szCs w:val="18"/>
          <w:highlight w:val="none"/>
        </w:rPr>
        <w:t>（</w:t>
      </w:r>
      <w:r>
        <w:rPr>
          <w:rFonts w:ascii="黑体" w:hAnsi="黑体" w:eastAsia="黑体"/>
          <w:b/>
          <w:bCs/>
          <w:sz w:val="18"/>
          <w:szCs w:val="18"/>
          <w:highlight w:val="none"/>
        </w:rPr>
        <w:t>4）★在本产品存续期内，如因国家法律法规、监管规定发生变化，或是出于维护本产品正常运营的需要，在不损害投资者</w:t>
      </w:r>
      <w:r>
        <w:rPr>
          <w:rFonts w:hint="eastAsia" w:ascii="黑体" w:hAnsi="黑体" w:eastAsia="黑体"/>
          <w:b/>
          <w:bCs/>
          <w:sz w:val="18"/>
          <w:szCs w:val="18"/>
          <w:highlight w:val="none"/>
        </w:rPr>
        <w:t>权益</w:t>
      </w:r>
      <w:r>
        <w:rPr>
          <w:rFonts w:ascii="黑体" w:hAnsi="黑体" w:eastAsia="黑体"/>
          <w:b/>
          <w:bCs/>
          <w:sz w:val="18"/>
          <w:szCs w:val="18"/>
          <w:highlight w:val="none"/>
        </w:rPr>
        <w:t>的前提下，</w:t>
      </w:r>
      <w:r>
        <w:rPr>
          <w:rFonts w:hint="eastAsia" w:ascii="黑体" w:hAnsi="黑体" w:eastAsia="黑体"/>
          <w:b/>
          <w:bCs/>
          <w:sz w:val="18"/>
          <w:szCs w:val="18"/>
          <w:highlight w:val="none"/>
        </w:rPr>
        <w:t>产品管理人</w:t>
      </w:r>
      <w:r>
        <w:rPr>
          <w:rFonts w:ascii="黑体" w:hAnsi="黑体" w:eastAsia="黑体"/>
          <w:b/>
          <w:bCs/>
          <w:sz w:val="18"/>
          <w:szCs w:val="18"/>
          <w:highlight w:val="none"/>
        </w:rPr>
        <w:t>有权对</w:t>
      </w:r>
      <w:r>
        <w:rPr>
          <w:rFonts w:hint="eastAsia" w:ascii="黑体" w:hAnsi="黑体" w:eastAsia="黑体"/>
          <w:b/>
          <w:bCs/>
          <w:sz w:val="18"/>
          <w:szCs w:val="18"/>
          <w:highlight w:val="none"/>
        </w:rPr>
        <w:t>理财产品销售文件</w:t>
      </w:r>
      <w:r>
        <w:rPr>
          <w:rFonts w:ascii="黑体" w:hAnsi="黑体" w:eastAsia="黑体"/>
          <w:b/>
          <w:bCs/>
          <w:sz w:val="18"/>
          <w:szCs w:val="18"/>
          <w:highlight w:val="none"/>
        </w:rPr>
        <w:t>进行修订，并提前2个工作日进行</w:t>
      </w:r>
      <w:r>
        <w:rPr>
          <w:rFonts w:hint="eastAsia" w:ascii="黑体" w:hAnsi="黑体" w:eastAsia="黑体"/>
          <w:b/>
          <w:bCs/>
          <w:sz w:val="18"/>
          <w:szCs w:val="18"/>
          <w:highlight w:val="none"/>
        </w:rPr>
        <w:t>公告</w:t>
      </w:r>
      <w:r>
        <w:rPr>
          <w:rFonts w:ascii="黑体" w:hAnsi="黑体" w:eastAsia="黑体"/>
          <w:b/>
          <w:bCs/>
          <w:sz w:val="18"/>
          <w:szCs w:val="18"/>
          <w:highlight w:val="none"/>
        </w:rPr>
        <w:t>。</w:t>
      </w:r>
    </w:p>
    <w:p>
      <w:pPr>
        <w:ind w:firstLine="360"/>
        <w:rPr>
          <w:rFonts w:ascii="宋体" w:hAnsi="宋体"/>
          <w:bCs/>
          <w:sz w:val="18"/>
          <w:szCs w:val="18"/>
          <w:highlight w:val="none"/>
        </w:rPr>
      </w:pPr>
      <w:r>
        <w:rPr>
          <w:rFonts w:hint="eastAsia" w:ascii="宋体" w:hAnsi="宋体"/>
          <w:bCs/>
          <w:sz w:val="18"/>
          <w:szCs w:val="18"/>
          <w:highlight w:val="none"/>
        </w:rPr>
        <w:t>（</w:t>
      </w:r>
      <w:r>
        <w:rPr>
          <w:rFonts w:ascii="宋体" w:hAnsi="宋体"/>
          <w:bCs/>
          <w:sz w:val="18"/>
          <w:szCs w:val="18"/>
          <w:highlight w:val="none"/>
        </w:rPr>
        <w:t>5）其他需要临时性公告的事项</w:t>
      </w:r>
    </w:p>
    <w:p>
      <w:pPr>
        <w:ind w:firstLine="360"/>
        <w:rPr>
          <w:rFonts w:ascii="宋体" w:hAnsi="宋体"/>
          <w:bCs/>
          <w:sz w:val="18"/>
          <w:szCs w:val="18"/>
          <w:highlight w:val="none"/>
        </w:rPr>
      </w:pPr>
      <w:r>
        <w:rPr>
          <w:rFonts w:hint="eastAsia" w:ascii="宋体" w:hAnsi="宋体"/>
          <w:bCs/>
          <w:sz w:val="18"/>
          <w:szCs w:val="18"/>
          <w:highlight w:val="none"/>
        </w:rPr>
        <w:t>除前述事项外，如出现其他突发事件，需在事件发生后及时进行披露。</w:t>
      </w:r>
    </w:p>
    <w:p>
      <w:pPr>
        <w:ind w:firstLine="361"/>
        <w:rPr>
          <w:rFonts w:ascii="黑体" w:hAnsi="黑体" w:eastAsia="黑体"/>
          <w:b/>
          <w:bCs/>
          <w:sz w:val="18"/>
          <w:szCs w:val="18"/>
          <w:highlight w:val="none"/>
        </w:rPr>
      </w:pPr>
      <w:r>
        <w:rPr>
          <w:rFonts w:hint="eastAsia" w:ascii="黑体" w:hAnsi="黑体" w:eastAsia="黑体"/>
          <w:b/>
          <w:bCs/>
          <w:sz w:val="18"/>
          <w:szCs w:val="18"/>
          <w:highlight w:val="none"/>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bookmarkEnd w:id="21"/>
    <w:bookmarkEnd w:id="22"/>
    <w:p>
      <w:pPr>
        <w:ind w:firstLine="0" w:firstLineChars="0"/>
        <w:rPr>
          <w:rFonts w:asciiTheme="minorEastAsia" w:hAnsiTheme="minorEastAsia"/>
          <w:sz w:val="20"/>
          <w:szCs w:val="20"/>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56F6"/>
    <w:rsid w:val="00015392"/>
    <w:rsid w:val="0002497E"/>
    <w:rsid w:val="00080498"/>
    <w:rsid w:val="00090B73"/>
    <w:rsid w:val="000A1C52"/>
    <w:rsid w:val="000A50DB"/>
    <w:rsid w:val="000B626F"/>
    <w:rsid w:val="000C7354"/>
    <w:rsid w:val="000E33EC"/>
    <w:rsid w:val="001158E8"/>
    <w:rsid w:val="0012252C"/>
    <w:rsid w:val="00130406"/>
    <w:rsid w:val="0014286B"/>
    <w:rsid w:val="00184F86"/>
    <w:rsid w:val="001B669F"/>
    <w:rsid w:val="001D156F"/>
    <w:rsid w:val="001E13D8"/>
    <w:rsid w:val="001F759B"/>
    <w:rsid w:val="00230618"/>
    <w:rsid w:val="00233DD9"/>
    <w:rsid w:val="002944EC"/>
    <w:rsid w:val="002A25B7"/>
    <w:rsid w:val="002A7CDF"/>
    <w:rsid w:val="002B6A6A"/>
    <w:rsid w:val="002C11F1"/>
    <w:rsid w:val="002C4042"/>
    <w:rsid w:val="002D2844"/>
    <w:rsid w:val="002D3F05"/>
    <w:rsid w:val="00330C62"/>
    <w:rsid w:val="0035315F"/>
    <w:rsid w:val="003834D3"/>
    <w:rsid w:val="003E1F2F"/>
    <w:rsid w:val="00440A24"/>
    <w:rsid w:val="004C678B"/>
    <w:rsid w:val="00507C5B"/>
    <w:rsid w:val="00555BB4"/>
    <w:rsid w:val="005C6A04"/>
    <w:rsid w:val="005C7C34"/>
    <w:rsid w:val="005F56F6"/>
    <w:rsid w:val="00601D04"/>
    <w:rsid w:val="006244F4"/>
    <w:rsid w:val="00626623"/>
    <w:rsid w:val="006D29D2"/>
    <w:rsid w:val="006E5AE2"/>
    <w:rsid w:val="006E68FC"/>
    <w:rsid w:val="007208C7"/>
    <w:rsid w:val="007401E1"/>
    <w:rsid w:val="00786EC3"/>
    <w:rsid w:val="007C11CE"/>
    <w:rsid w:val="007D51FD"/>
    <w:rsid w:val="00807F08"/>
    <w:rsid w:val="00860195"/>
    <w:rsid w:val="008921EA"/>
    <w:rsid w:val="00892A89"/>
    <w:rsid w:val="008F11F2"/>
    <w:rsid w:val="00902BEA"/>
    <w:rsid w:val="009229CA"/>
    <w:rsid w:val="009243AA"/>
    <w:rsid w:val="009418B5"/>
    <w:rsid w:val="00953FA4"/>
    <w:rsid w:val="00977EEA"/>
    <w:rsid w:val="009B6725"/>
    <w:rsid w:val="009E2718"/>
    <w:rsid w:val="00A15AB3"/>
    <w:rsid w:val="00A30EC2"/>
    <w:rsid w:val="00A31CCE"/>
    <w:rsid w:val="00A45253"/>
    <w:rsid w:val="00A80186"/>
    <w:rsid w:val="00B44341"/>
    <w:rsid w:val="00B606ED"/>
    <w:rsid w:val="00B82591"/>
    <w:rsid w:val="00B83F1E"/>
    <w:rsid w:val="00B978AB"/>
    <w:rsid w:val="00BD4CFB"/>
    <w:rsid w:val="00C508A5"/>
    <w:rsid w:val="00C57338"/>
    <w:rsid w:val="00C71295"/>
    <w:rsid w:val="00CE4C93"/>
    <w:rsid w:val="00D23A27"/>
    <w:rsid w:val="00D535D1"/>
    <w:rsid w:val="00D72250"/>
    <w:rsid w:val="00D8039B"/>
    <w:rsid w:val="00DD29DB"/>
    <w:rsid w:val="00DF5828"/>
    <w:rsid w:val="00DF62AA"/>
    <w:rsid w:val="00E44F48"/>
    <w:rsid w:val="00E53E13"/>
    <w:rsid w:val="00E8335E"/>
    <w:rsid w:val="00EA4819"/>
    <w:rsid w:val="00ED047D"/>
    <w:rsid w:val="00F0362B"/>
    <w:rsid w:val="00F5794B"/>
    <w:rsid w:val="00F8798A"/>
    <w:rsid w:val="00FA0F96"/>
    <w:rsid w:val="00FB3C10"/>
    <w:rsid w:val="789D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ind w:firstLine="0" w:firstLineChars="0"/>
      <w:outlineLvl w:val="0"/>
    </w:pPr>
    <w:rPr>
      <w:rFonts w:ascii="Calibri" w:hAnsi="Calibri" w:eastAsia="宋体" w:cs="宋体"/>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jc w:val="left"/>
    </w:pPr>
  </w:style>
  <w:style w:type="paragraph" w:styleId="4">
    <w:name w:val="Balloon Text"/>
    <w:basedOn w:val="1"/>
    <w:link w:val="20"/>
    <w:semiHidden/>
    <w:unhideWhenUsed/>
    <w:uiPriority w:val="99"/>
    <w:pPr>
      <w:spacing w:line="240" w:lineRule="auto"/>
    </w:pPr>
    <w:rPr>
      <w:sz w:val="18"/>
      <w:szCs w:val="18"/>
    </w:r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8">
    <w:name w:val="annotation subject"/>
    <w:basedOn w:val="3"/>
    <w:next w:val="3"/>
    <w:link w:val="19"/>
    <w:semiHidden/>
    <w:unhideWhenUsed/>
    <w:uiPriority w:val="99"/>
    <w:rPr>
      <w:b/>
      <w:bCs/>
    </w:rPr>
  </w:style>
  <w:style w:type="character" w:styleId="11">
    <w:name w:val="FollowedHyperlink"/>
    <w:basedOn w:val="10"/>
    <w:semiHidden/>
    <w:unhideWhenUsed/>
    <w:uiPriority w:val="99"/>
    <w:rPr>
      <w:color w:val="800080"/>
      <w:u w:val="single"/>
    </w:rPr>
  </w:style>
  <w:style w:type="character" w:styleId="12">
    <w:name w:val="Hyperlink"/>
    <w:basedOn w:val="10"/>
    <w:semiHidden/>
    <w:unhideWhenUsed/>
    <w:uiPriority w:val="99"/>
    <w:rPr>
      <w:color w:val="0000FF"/>
      <w:u w:val="single"/>
    </w:rPr>
  </w:style>
  <w:style w:type="character" w:styleId="13">
    <w:name w:val="annotation reference"/>
    <w:basedOn w:val="10"/>
    <w:semiHidden/>
    <w:unhideWhenUsed/>
    <w:uiPriority w:val="99"/>
    <w:rPr>
      <w:sz w:val="21"/>
      <w:szCs w:val="21"/>
    </w:rPr>
  </w:style>
  <w:style w:type="character" w:customStyle="1" w:styleId="14">
    <w:name w:val="页眉 Char"/>
    <w:basedOn w:val="10"/>
    <w:link w:val="6"/>
    <w:semiHidden/>
    <w:uiPriority w:val="99"/>
    <w:rPr>
      <w:sz w:val="18"/>
      <w:szCs w:val="18"/>
    </w:rPr>
  </w:style>
  <w:style w:type="character" w:customStyle="1" w:styleId="15">
    <w:name w:val="页脚 Char"/>
    <w:basedOn w:val="10"/>
    <w:link w:val="5"/>
    <w:semiHidden/>
    <w:uiPriority w:val="99"/>
    <w:rPr>
      <w:sz w:val="18"/>
      <w:szCs w:val="18"/>
    </w:rPr>
  </w:style>
  <w:style w:type="paragraph" w:customStyle="1" w:styleId="1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eastAsia="宋体" w:cs="宋体"/>
      <w:kern w:val="0"/>
      <w:sz w:val="24"/>
      <w:szCs w:val="24"/>
    </w:rPr>
  </w:style>
  <w:style w:type="paragraph" w:customStyle="1" w:styleId="17">
    <w:name w:val="xl64"/>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ascii="Calibri" w:hAnsi="Calibri" w:eastAsia="宋体" w:cs="Calibri"/>
      <w:b/>
      <w:bCs/>
      <w:kern w:val="0"/>
      <w:sz w:val="20"/>
      <w:szCs w:val="20"/>
    </w:rPr>
  </w:style>
  <w:style w:type="character" w:customStyle="1" w:styleId="18">
    <w:name w:val="批注文字 Char"/>
    <w:basedOn w:val="10"/>
    <w:link w:val="3"/>
    <w:semiHidden/>
    <w:uiPriority w:val="99"/>
  </w:style>
  <w:style w:type="character" w:customStyle="1" w:styleId="19">
    <w:name w:val="批注主题 Char"/>
    <w:basedOn w:val="18"/>
    <w:link w:val="8"/>
    <w:semiHidden/>
    <w:uiPriority w:val="99"/>
    <w:rPr>
      <w:b/>
      <w:bCs/>
    </w:rPr>
  </w:style>
  <w:style w:type="character" w:customStyle="1" w:styleId="20">
    <w:name w:val="批注框文本 Char"/>
    <w:basedOn w:val="10"/>
    <w:link w:val="4"/>
    <w:semiHidden/>
    <w:uiPriority w:val="99"/>
    <w:rPr>
      <w:sz w:val="18"/>
      <w:szCs w:val="18"/>
    </w:rPr>
  </w:style>
  <w:style w:type="character" w:customStyle="1" w:styleId="21">
    <w:name w:val="标题 1 Char"/>
    <w:basedOn w:val="10"/>
    <w:link w:val="2"/>
    <w:qFormat/>
    <w:uiPriority w:val="0"/>
    <w:rPr>
      <w:rFonts w:ascii="Calibri" w:hAnsi="Calibri" w:eastAsia="宋体" w:cs="宋体"/>
      <w:b/>
      <w:bCs/>
      <w:kern w:val="44"/>
      <w:sz w:val="44"/>
      <w:szCs w:val="44"/>
    </w:rPr>
  </w:style>
  <w:style w:type="character" w:customStyle="1" w:styleId="22">
    <w:name w:val="HTML 预设格式 Char"/>
    <w:basedOn w:val="10"/>
    <w:link w:val="7"/>
    <w:qFormat/>
    <w:uiPriority w:val="99"/>
    <w:rPr>
      <w:rFonts w:ascii="宋体" w:hAnsi="宋体" w:eastAsia="宋体" w:cs="宋体"/>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4">
    <w:name w:val="font5"/>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25">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eastAsia="宋体" w:cs="宋体"/>
      <w:kern w:val="0"/>
      <w:sz w:val="24"/>
      <w:szCs w:val="24"/>
    </w:rPr>
  </w:style>
  <w:style w:type="paragraph" w:customStyle="1" w:styleId="26">
    <w:name w:val="xl66"/>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ascii="Calibri" w:hAnsi="Calibri" w:eastAsia="宋体" w:cs="Calibri"/>
      <w:b/>
      <w:bCs/>
      <w:kern w:val="0"/>
      <w:sz w:val="20"/>
      <w:szCs w:val="20"/>
    </w:rPr>
  </w:style>
  <w:style w:type="paragraph" w:customStyle="1" w:styleId="27">
    <w:name w:val="xl67"/>
    <w:basedOn w:val="1"/>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styleId="2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960</Words>
  <Characters>5476</Characters>
  <Lines>45</Lines>
  <Paragraphs>12</Paragraphs>
  <TotalTime>5</TotalTime>
  <ScaleCrop>false</ScaleCrop>
  <LinksUpToDate>false</LinksUpToDate>
  <CharactersWithSpaces>6424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2021-10-29T09:00:00Z</dcterms:created>
  <dc:creator>吴姗</dc:creator>
  <cp:lastModifiedBy>成都作业单系统专用</cp:lastModifiedBy>
  <dcterms:modified xsi:type="dcterms:W3CDTF">2021-10-29T11:54:51Z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