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cs="仿宋_GB2312"/>
          <w:b/>
          <w:kern w:val="0"/>
          <w:sz w:val="44"/>
          <w:szCs w:val="44"/>
        </w:rPr>
      </w:pPr>
      <w:r>
        <w:rPr>
          <w:rFonts w:hint="eastAsia" w:ascii="仿宋_GB2312" w:eastAsia="仿宋_GB2312" w:cs="仿宋_GB2312"/>
          <w:b/>
          <w:kern w:val="0"/>
          <w:sz w:val="44"/>
          <w:szCs w:val="44"/>
        </w:rPr>
        <w:t>兴业银行2020年下半年度理财业务报告</w:t>
      </w:r>
    </w:p>
    <w:p>
      <w:pPr>
        <w:spacing w:line="360" w:lineRule="auto"/>
        <w:jc w:val="center"/>
        <w:rPr>
          <w:rFonts w:ascii="仿宋_GB2312" w:eastAsia="仿宋_GB2312" w:cs="仿宋_GB2312"/>
          <w:kern w:val="0"/>
          <w:sz w:val="24"/>
          <w:szCs w:val="24"/>
        </w:rPr>
      </w:pPr>
    </w:p>
    <w:p>
      <w:pPr>
        <w:spacing w:line="360" w:lineRule="auto"/>
        <w:jc w:val="center"/>
        <w:rPr>
          <w:rFonts w:ascii="仿宋_GB2312" w:eastAsia="仿宋_GB2312" w:cs="仿宋_GB2312"/>
          <w:kern w:val="0"/>
          <w:sz w:val="24"/>
          <w:szCs w:val="24"/>
        </w:rPr>
      </w:pPr>
      <w:r>
        <w:rPr>
          <w:rFonts w:hint="eastAsia" w:ascii="仿宋_GB2312" w:eastAsia="仿宋_GB2312" w:cs="仿宋_GB2312"/>
          <w:kern w:val="0"/>
          <w:sz w:val="24"/>
          <w:szCs w:val="24"/>
        </w:rPr>
        <w:t>报告期：</w:t>
      </w:r>
      <w:r>
        <w:rPr>
          <w:rFonts w:ascii="仿宋_GB2312" w:eastAsia="仿宋_GB2312" w:cs="仿宋_GB2312"/>
          <w:kern w:val="0"/>
          <w:sz w:val="24"/>
          <w:szCs w:val="24"/>
        </w:rPr>
        <w:t>2020-</w:t>
      </w:r>
      <w:r>
        <w:rPr>
          <w:rFonts w:hint="eastAsia" w:ascii="仿宋_GB2312" w:eastAsia="仿宋_GB2312" w:cs="仿宋_GB2312"/>
          <w:kern w:val="0"/>
          <w:sz w:val="24"/>
          <w:szCs w:val="24"/>
        </w:rPr>
        <w:t>07</w:t>
      </w:r>
      <w:r>
        <w:rPr>
          <w:rFonts w:ascii="仿宋_GB2312" w:eastAsia="仿宋_GB2312" w:cs="仿宋_GB2312"/>
          <w:kern w:val="0"/>
          <w:sz w:val="24"/>
          <w:szCs w:val="24"/>
        </w:rPr>
        <w:t xml:space="preserve">-01 </w:t>
      </w:r>
      <w:r>
        <w:rPr>
          <w:rFonts w:hint="eastAsia" w:ascii="仿宋_GB2312" w:eastAsia="仿宋_GB2312" w:cs="仿宋_GB2312"/>
          <w:kern w:val="0"/>
          <w:sz w:val="24"/>
          <w:szCs w:val="24"/>
        </w:rPr>
        <w:t>至</w:t>
      </w:r>
      <w:r>
        <w:rPr>
          <w:rFonts w:ascii="仿宋_GB2312" w:eastAsia="仿宋_GB2312" w:cs="仿宋_GB2312"/>
          <w:kern w:val="0"/>
          <w:sz w:val="24"/>
          <w:szCs w:val="24"/>
        </w:rPr>
        <w:t>2020-</w:t>
      </w:r>
      <w:r>
        <w:rPr>
          <w:rFonts w:hint="eastAsia" w:ascii="仿宋_GB2312" w:eastAsia="仿宋_GB2312" w:cs="仿宋_GB2312"/>
          <w:kern w:val="0"/>
          <w:sz w:val="24"/>
          <w:szCs w:val="24"/>
        </w:rPr>
        <w:t>12</w:t>
      </w:r>
      <w:r>
        <w:rPr>
          <w:rFonts w:ascii="仿宋_GB2312" w:eastAsia="仿宋_GB2312" w:cs="仿宋_GB2312"/>
          <w:kern w:val="0"/>
          <w:sz w:val="24"/>
          <w:szCs w:val="24"/>
        </w:rPr>
        <w:t>-</w:t>
      </w:r>
      <w:r>
        <w:rPr>
          <w:rFonts w:hint="eastAsia" w:ascii="仿宋_GB2312" w:eastAsia="仿宋_GB2312" w:cs="仿宋_GB2312"/>
          <w:kern w:val="0"/>
          <w:sz w:val="24"/>
          <w:szCs w:val="24"/>
        </w:rPr>
        <w:t>31</w:t>
      </w:r>
    </w:p>
    <w:p>
      <w:pPr>
        <w:pStyle w:val="12"/>
        <w:numPr>
          <w:ilvl w:val="0"/>
          <w:numId w:val="1"/>
        </w:numPr>
        <w:spacing w:line="360" w:lineRule="auto"/>
        <w:ind w:firstLineChars="0"/>
        <w:jc w:val="left"/>
        <w:rPr>
          <w:rFonts w:ascii="仿宋_GB2312" w:eastAsia="仿宋_GB2312" w:cs="仿宋_GB2312"/>
          <w:kern w:val="0"/>
          <w:sz w:val="24"/>
          <w:szCs w:val="24"/>
        </w:rPr>
      </w:pPr>
      <w:r>
        <w:rPr>
          <w:rFonts w:hint="eastAsia" w:ascii="仿宋_GB2312" w:eastAsia="仿宋_GB2312" w:cs="仿宋_GB2312"/>
          <w:kern w:val="0"/>
          <w:sz w:val="24"/>
          <w:szCs w:val="24"/>
        </w:rPr>
        <w:t>当期理财产品发行情况</w:t>
      </w:r>
    </w:p>
    <w:tbl>
      <w:tblPr>
        <w:tblStyle w:val="9"/>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1730"/>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产品类型</w:t>
            </w:r>
          </w:p>
        </w:tc>
        <w:tc>
          <w:tcPr>
            <w:tcW w:w="1730"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数量</w:t>
            </w:r>
          </w:p>
        </w:tc>
        <w:tc>
          <w:tcPr>
            <w:tcW w:w="2441"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按募集方式：</w:t>
            </w:r>
            <w:r>
              <w:rPr>
                <w:rFonts w:hint="eastAsia" w:ascii="仿宋_GB2312" w:eastAsia="仿宋_GB2312" w:cs="仿宋_GB2312"/>
                <w:kern w:val="0"/>
                <w:sz w:val="24"/>
                <w:szCs w:val="24"/>
              </w:rPr>
              <w:t>公募</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196</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325,240,913.98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私募</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34</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1,776,741.00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230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327,017,654.98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按投资性质：</w:t>
            </w:r>
            <w:r>
              <w:rPr>
                <w:rFonts w:hint="eastAsia" w:ascii="仿宋_GB2312" w:eastAsia="仿宋_GB2312" w:cs="仿宋_GB2312"/>
                <w:kern w:val="0"/>
                <w:sz w:val="24"/>
                <w:szCs w:val="24"/>
              </w:rPr>
              <w:t>固定收益类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230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327,017,654.98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商品及金融衍生品类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混合类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230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327,017,654.98 </w:t>
            </w:r>
          </w:p>
        </w:tc>
      </w:tr>
    </w:tbl>
    <w:p>
      <w:pPr>
        <w:rPr>
          <w:rFonts w:ascii="仿宋_GB2312" w:eastAsia="仿宋_GB2312" w:cs="仿宋_GB2312"/>
          <w:kern w:val="0"/>
          <w:sz w:val="24"/>
          <w:szCs w:val="24"/>
        </w:rPr>
      </w:pPr>
      <w:r>
        <w:rPr>
          <w:rFonts w:hint="eastAsia" w:ascii="仿宋_GB2312" w:eastAsia="仿宋_GB2312" w:cs="仿宋_GB2312"/>
          <w:kern w:val="0"/>
          <w:sz w:val="24"/>
          <w:szCs w:val="24"/>
        </w:rPr>
        <w:t>备注：</w:t>
      </w:r>
    </w:p>
    <w:p>
      <w:pPr>
        <w:rPr>
          <w:rFonts w:ascii="仿宋_GB2312" w:eastAsia="仿宋_GB2312" w:cs="仿宋_GB2312"/>
          <w:kern w:val="0"/>
          <w:sz w:val="24"/>
          <w:szCs w:val="24"/>
        </w:rPr>
      </w:pPr>
      <w:r>
        <w:rPr>
          <w:rFonts w:hint="eastAsia" w:ascii="仿宋_GB2312" w:eastAsia="仿宋_GB2312" w:cs="仿宋_GB2312"/>
          <w:kern w:val="0"/>
          <w:sz w:val="24"/>
          <w:szCs w:val="24"/>
        </w:rPr>
        <w:t>（1）数据范围为报告期内新发行的非保本理财产品，以及报告期内所有非保本理财产品的认购和申购数据。</w:t>
      </w:r>
    </w:p>
    <w:p>
      <w:pPr>
        <w:rPr>
          <w:rFonts w:ascii="仿宋_GB2312" w:eastAsia="仿宋_GB2312" w:cs="仿宋_GB2312"/>
          <w:kern w:val="0"/>
          <w:sz w:val="24"/>
          <w:szCs w:val="24"/>
        </w:rPr>
      </w:pPr>
      <w:r>
        <w:rPr>
          <w:rFonts w:hint="eastAsia" w:ascii="仿宋_GB2312" w:eastAsia="仿宋_GB2312" w:cs="仿宋_GB2312"/>
          <w:kern w:val="0"/>
          <w:sz w:val="24"/>
          <w:szCs w:val="24"/>
        </w:rPr>
        <w:t>（</w:t>
      </w:r>
      <w:r>
        <w:rPr>
          <w:rFonts w:ascii="仿宋_GB2312" w:eastAsia="仿宋_GB2312" w:cs="仿宋_GB2312"/>
          <w:kern w:val="0"/>
          <w:sz w:val="24"/>
          <w:szCs w:val="24"/>
        </w:rPr>
        <w:t>2</w:t>
      </w:r>
      <w:r>
        <w:rPr>
          <w:rFonts w:hint="eastAsia" w:ascii="仿宋_GB2312" w:eastAsia="仿宋_GB2312" w:cs="仿宋_GB2312"/>
          <w:kern w:val="0"/>
          <w:sz w:val="24"/>
          <w:szCs w:val="24"/>
        </w:rPr>
        <w:t>）美元折算汇率均为当期期末中国外汇交易中心公布的人民币对美元汇率中间价。</w:t>
      </w:r>
    </w:p>
    <w:p>
      <w:pPr>
        <w:spacing w:line="360" w:lineRule="auto"/>
        <w:jc w:val="left"/>
      </w:pPr>
    </w:p>
    <w:p>
      <w:pPr>
        <w:pStyle w:val="12"/>
        <w:numPr>
          <w:ilvl w:val="0"/>
          <w:numId w:val="1"/>
        </w:numPr>
        <w:spacing w:line="360" w:lineRule="auto"/>
        <w:ind w:firstLineChars="0"/>
        <w:jc w:val="left"/>
        <w:rPr>
          <w:rFonts w:ascii="仿宋_GB2312" w:eastAsia="仿宋_GB2312" w:cs="仿宋_GB2312"/>
          <w:kern w:val="0"/>
          <w:sz w:val="24"/>
          <w:szCs w:val="24"/>
        </w:rPr>
      </w:pPr>
      <w:r>
        <w:rPr>
          <w:rFonts w:hint="eastAsia" w:ascii="仿宋_GB2312" w:eastAsia="仿宋_GB2312" w:cs="仿宋_GB2312"/>
          <w:kern w:val="0"/>
          <w:sz w:val="24"/>
          <w:szCs w:val="24"/>
        </w:rPr>
        <w:t>当期理财产品到期情况</w:t>
      </w:r>
    </w:p>
    <w:tbl>
      <w:tblPr>
        <w:tblStyle w:val="9"/>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4"/>
        <w:gridCol w:w="1277"/>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产品类型</w:t>
            </w:r>
          </w:p>
        </w:tc>
        <w:tc>
          <w:tcPr>
            <w:tcW w:w="1277"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到期数量</w:t>
            </w:r>
          </w:p>
        </w:tc>
        <w:tc>
          <w:tcPr>
            <w:tcW w:w="359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到期及赎回金额（万元）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按募集方式：</w:t>
            </w:r>
            <w:r>
              <w:rPr>
                <w:rFonts w:hint="eastAsia" w:ascii="仿宋_GB2312" w:eastAsia="仿宋_GB2312" w:cs="仿宋_GB2312"/>
                <w:kern w:val="0"/>
                <w:sz w:val="24"/>
                <w:szCs w:val="24"/>
              </w:rPr>
              <w:t>公募</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265</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321,560,580.27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私募</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44</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1,928,220.00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309</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323,488,800.27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按投资性质：</w:t>
            </w:r>
            <w:r>
              <w:rPr>
                <w:rFonts w:hint="eastAsia" w:ascii="仿宋_GB2312" w:eastAsia="仿宋_GB2312" w:cs="仿宋_GB2312"/>
                <w:kern w:val="0"/>
                <w:sz w:val="24"/>
                <w:szCs w:val="24"/>
              </w:rPr>
              <w:t>固定收益类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307</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323,461,776.27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920.00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商品及金融衍生品类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eastAsia" w:ascii="Arial" w:hAnsi="Arial" w:eastAsia="宋体" w:cs="Arial"/>
                <w:i w:val="0"/>
                <w:color w:val="000000"/>
                <w:kern w:val="0"/>
                <w:sz w:val="20"/>
                <w:szCs w:val="20"/>
                <w:u w:val="none"/>
                <w:lang w:val="en-US" w:eastAsia="zh-CN" w:bidi="ar"/>
              </w:rPr>
              <w:t>0.00</w:t>
            </w:r>
            <w:bookmarkStart w:id="0" w:name="_GoBack"/>
            <w:bookmarkEnd w:id="0"/>
            <w:r>
              <w:rPr>
                <w:rFonts w:hint="default" w:ascii="Arial" w:hAnsi="Arial" w:eastAsia="宋体" w:cs="Arial"/>
                <w:i w:val="0"/>
                <w:color w:val="000000"/>
                <w:kern w:val="0"/>
                <w:sz w:val="20"/>
                <w:szCs w:val="20"/>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混合类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2</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26,104.00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309</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 323,488,800.27 </w:t>
            </w:r>
          </w:p>
        </w:tc>
      </w:tr>
    </w:tbl>
    <w:p>
      <w:pPr>
        <w:rPr>
          <w:rFonts w:ascii="仿宋_GB2312" w:eastAsia="仿宋_GB2312" w:cs="仿宋_GB2312"/>
          <w:kern w:val="0"/>
          <w:sz w:val="24"/>
          <w:szCs w:val="24"/>
        </w:rPr>
      </w:pPr>
      <w:r>
        <w:rPr>
          <w:rFonts w:hint="eastAsia" w:ascii="仿宋_GB2312" w:eastAsia="仿宋_GB2312" w:cs="仿宋_GB2312"/>
          <w:kern w:val="0"/>
          <w:sz w:val="24"/>
          <w:szCs w:val="24"/>
        </w:rPr>
        <w:t>备注：</w:t>
      </w:r>
    </w:p>
    <w:p>
      <w:pPr>
        <w:rPr>
          <w:rFonts w:ascii="仿宋_GB2312" w:eastAsia="仿宋_GB2312" w:cs="仿宋_GB2312"/>
          <w:kern w:val="0"/>
          <w:sz w:val="24"/>
          <w:szCs w:val="24"/>
        </w:rPr>
      </w:pPr>
      <w:r>
        <w:rPr>
          <w:rFonts w:hint="eastAsia" w:ascii="仿宋_GB2312" w:eastAsia="仿宋_GB2312" w:cs="仿宋_GB2312"/>
          <w:kern w:val="0"/>
          <w:sz w:val="24"/>
          <w:szCs w:val="24"/>
        </w:rPr>
        <w:t>（1）数据范围为报告期内到期的非保本理财产品，以及报告期内所有非保本理财产品的到期和赎回数据。</w:t>
      </w:r>
    </w:p>
    <w:p>
      <w:r>
        <w:rPr>
          <w:rFonts w:hint="eastAsia" w:ascii="仿宋_GB2312" w:eastAsia="仿宋_GB2312" w:cs="仿宋_GB2312"/>
          <w:kern w:val="0"/>
          <w:sz w:val="24"/>
          <w:szCs w:val="24"/>
        </w:rPr>
        <w:t>（</w:t>
      </w:r>
      <w:r>
        <w:rPr>
          <w:rFonts w:ascii="仿宋_GB2312" w:eastAsia="仿宋_GB2312" w:cs="仿宋_GB2312"/>
          <w:kern w:val="0"/>
          <w:sz w:val="24"/>
          <w:szCs w:val="24"/>
        </w:rPr>
        <w:t>2</w:t>
      </w:r>
      <w:r>
        <w:rPr>
          <w:rFonts w:hint="eastAsia" w:ascii="仿宋_GB2312" w:eastAsia="仿宋_GB2312" w:cs="仿宋_GB2312"/>
          <w:kern w:val="0"/>
          <w:sz w:val="24"/>
          <w:szCs w:val="24"/>
        </w:rPr>
        <w:t>）美元折算汇率均为当期期末中国外汇交易中心公布的人民币对美元汇率中间价。</w:t>
      </w:r>
    </w:p>
    <w:p>
      <w:pPr>
        <w:spacing w:line="360" w:lineRule="auto"/>
        <w:jc w:val="left"/>
      </w:pPr>
    </w:p>
    <w:p>
      <w:pPr>
        <w:pStyle w:val="12"/>
        <w:numPr>
          <w:ilvl w:val="0"/>
          <w:numId w:val="1"/>
        </w:numPr>
        <w:spacing w:line="360" w:lineRule="auto"/>
        <w:ind w:firstLineChars="0"/>
        <w:jc w:val="left"/>
        <w:rPr>
          <w:rFonts w:ascii="仿宋_GB2312" w:eastAsia="仿宋_GB2312" w:cs="仿宋_GB2312"/>
          <w:kern w:val="0"/>
          <w:sz w:val="24"/>
          <w:szCs w:val="24"/>
        </w:rPr>
      </w:pPr>
      <w:r>
        <w:rPr>
          <w:rFonts w:hint="eastAsia" w:ascii="仿宋_GB2312" w:eastAsia="仿宋_GB2312" w:cs="仿宋_GB2312"/>
          <w:kern w:val="0"/>
          <w:sz w:val="24"/>
          <w:szCs w:val="24"/>
        </w:rPr>
        <w:t>期末存续理财产品情况</w:t>
      </w:r>
    </w:p>
    <w:tbl>
      <w:tblPr>
        <w:tblStyle w:val="9"/>
        <w:tblW w:w="8631" w:type="dxa"/>
        <w:tblInd w:w="93" w:type="dxa"/>
        <w:tblLayout w:type="fixed"/>
        <w:tblCellMar>
          <w:top w:w="0" w:type="dxa"/>
          <w:left w:w="108" w:type="dxa"/>
          <w:bottom w:w="0" w:type="dxa"/>
          <w:right w:w="108" w:type="dxa"/>
        </w:tblCellMar>
      </w:tblPr>
      <w:tblGrid>
        <w:gridCol w:w="2992"/>
        <w:gridCol w:w="567"/>
        <w:gridCol w:w="1607"/>
        <w:gridCol w:w="1056"/>
        <w:gridCol w:w="1276"/>
        <w:gridCol w:w="1133"/>
      </w:tblGrid>
      <w:tr>
        <w:tblPrEx>
          <w:tblLayout w:type="fixed"/>
          <w:tblCellMar>
            <w:top w:w="0" w:type="dxa"/>
            <w:left w:w="108" w:type="dxa"/>
            <w:bottom w:w="0" w:type="dxa"/>
            <w:right w:w="108" w:type="dxa"/>
          </w:tblCellMar>
        </w:tblPrEx>
        <w:trPr>
          <w:trHeight w:val="256"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产品类型</w:t>
            </w:r>
          </w:p>
        </w:tc>
        <w:tc>
          <w:tcPr>
            <w:tcW w:w="5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数量</w:t>
            </w:r>
          </w:p>
        </w:tc>
        <w:tc>
          <w:tcPr>
            <w:tcW w:w="160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金额（万元）</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金额占比</w:t>
            </w:r>
          </w:p>
        </w:tc>
        <w:tc>
          <w:tcPr>
            <w:tcW w:w="127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上期末金额占比</w:t>
            </w:r>
          </w:p>
        </w:tc>
        <w:tc>
          <w:tcPr>
            <w:tcW w:w="113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金额占比变动</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按募集方式：</w:t>
            </w:r>
            <w:r>
              <w:rPr>
                <w:rFonts w:hint="eastAsia" w:ascii="仿宋_GB2312" w:eastAsia="仿宋_GB2312" w:cs="仿宋_GB2312"/>
                <w:kern w:val="0"/>
                <w:sz w:val="24"/>
                <w:szCs w:val="24"/>
              </w:rPr>
              <w:t>公募</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251</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75895790.21</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96.10%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97.18%</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-1.08%</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私募</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111</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3082906.95</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3.90%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2.82%</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1.08%</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362</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78978697.16</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按投资性质：</w:t>
            </w:r>
            <w:r>
              <w:rPr>
                <w:rFonts w:hint="eastAsia" w:ascii="仿宋_GB2312" w:eastAsia="仿宋_GB2312" w:cs="仿宋_GB2312"/>
                <w:kern w:val="0"/>
                <w:sz w:val="24"/>
                <w:szCs w:val="24"/>
              </w:rPr>
              <w:t>固定收益类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360</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78975617.16</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99.97%</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0.03%</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2</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3080.00</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商品及金融衍生品类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0.00</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混合类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0.00</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w:t>
            </w:r>
            <w:r>
              <w:rPr>
                <w:rFonts w:hint="eastAsia" w:ascii="Arial" w:hAnsi="Arial" w:cs="Arial"/>
                <w:sz w:val="20"/>
                <w:szCs w:val="20"/>
              </w:rPr>
              <w:t>3</w:t>
            </w:r>
            <w:r>
              <w:rPr>
                <w:rFonts w:ascii="Arial" w:hAnsi="Arial" w:cs="Arial"/>
                <w:sz w:val="20"/>
                <w:szCs w:val="20"/>
              </w:rPr>
              <w:t>%</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w:t>
            </w:r>
            <w:r>
              <w:rPr>
                <w:rFonts w:hint="eastAsia" w:ascii="Arial" w:hAnsi="Arial" w:cs="Arial"/>
                <w:sz w:val="20"/>
                <w:szCs w:val="20"/>
              </w:rPr>
              <w:t>3</w:t>
            </w:r>
            <w:r>
              <w:rPr>
                <w:rFonts w:ascii="Arial" w:hAnsi="Arial" w:cs="Arial"/>
                <w:sz w:val="20"/>
                <w:szCs w:val="20"/>
              </w:rPr>
              <w:t>%</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362</w:t>
            </w:r>
          </w:p>
        </w:tc>
        <w:tc>
          <w:tcPr>
            <w:tcW w:w="160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78978697.16</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bl>
    <w:p>
      <w:pPr>
        <w:autoSpaceDE w:val="0"/>
        <w:autoSpaceDN w:val="0"/>
        <w:adjustRightInd w:val="0"/>
        <w:jc w:val="left"/>
        <w:rPr>
          <w:rFonts w:ascii="仿宋_GB2312" w:eastAsia="仿宋_GB2312" w:cs="仿宋_GB2312"/>
          <w:kern w:val="0"/>
          <w:sz w:val="24"/>
          <w:szCs w:val="24"/>
        </w:rPr>
      </w:pPr>
      <w:r>
        <w:rPr>
          <w:rFonts w:hint="eastAsia" w:ascii="仿宋_GB2312" w:eastAsia="仿宋_GB2312" w:cs="仿宋_GB2312"/>
          <w:kern w:val="0"/>
          <w:sz w:val="24"/>
          <w:szCs w:val="24"/>
        </w:rPr>
        <w:t>备注</w:t>
      </w:r>
      <w:r>
        <w:rPr>
          <w:rFonts w:ascii="仿宋_GB2312" w:eastAsia="仿宋_GB2312" w:cs="仿宋_GB2312"/>
          <w:kern w:val="0"/>
          <w:sz w:val="24"/>
          <w:szCs w:val="24"/>
        </w:rPr>
        <w:t>:</w:t>
      </w:r>
    </w:p>
    <w:p>
      <w:pPr>
        <w:autoSpaceDE w:val="0"/>
        <w:autoSpaceDN w:val="0"/>
        <w:adjustRightInd w:val="0"/>
        <w:jc w:val="left"/>
        <w:rPr>
          <w:rFonts w:ascii="仿宋_GB2312" w:eastAsia="仿宋_GB2312" w:cs="仿宋_GB2312"/>
          <w:kern w:val="0"/>
          <w:sz w:val="24"/>
          <w:szCs w:val="24"/>
        </w:rPr>
      </w:pPr>
      <w:r>
        <w:rPr>
          <w:rFonts w:hint="eastAsia" w:ascii="仿宋_GB2312" w:eastAsia="仿宋_GB2312" w:cs="仿宋_GB2312"/>
          <w:kern w:val="0"/>
          <w:sz w:val="24"/>
          <w:szCs w:val="24"/>
        </w:rPr>
        <w:t>（</w:t>
      </w:r>
      <w:r>
        <w:rPr>
          <w:rFonts w:ascii="仿宋_GB2312" w:eastAsia="仿宋_GB2312" w:cs="仿宋_GB2312"/>
          <w:kern w:val="0"/>
          <w:sz w:val="24"/>
          <w:szCs w:val="24"/>
        </w:rPr>
        <w:t>1</w:t>
      </w:r>
      <w:r>
        <w:rPr>
          <w:rFonts w:hint="eastAsia" w:ascii="仿宋_GB2312" w:eastAsia="仿宋_GB2312" w:cs="仿宋_GB2312"/>
          <w:kern w:val="0"/>
          <w:sz w:val="24"/>
          <w:szCs w:val="24"/>
        </w:rPr>
        <w:t>）数据范围为报告期末存续的非保本理财产品</w:t>
      </w:r>
    </w:p>
    <w:p>
      <w:pPr>
        <w:spacing w:line="360" w:lineRule="auto"/>
        <w:jc w:val="left"/>
      </w:pPr>
      <w:r>
        <w:rPr>
          <w:rFonts w:hint="eastAsia" w:ascii="仿宋_GB2312" w:eastAsia="仿宋_GB2312" w:cs="仿宋_GB2312"/>
          <w:kern w:val="0"/>
          <w:sz w:val="24"/>
          <w:szCs w:val="24"/>
        </w:rPr>
        <w:t>（</w:t>
      </w:r>
      <w:r>
        <w:rPr>
          <w:rFonts w:ascii="仿宋_GB2312" w:eastAsia="仿宋_GB2312" w:cs="仿宋_GB2312"/>
          <w:kern w:val="0"/>
          <w:sz w:val="24"/>
          <w:szCs w:val="24"/>
        </w:rPr>
        <w:t>2</w:t>
      </w:r>
      <w:r>
        <w:rPr>
          <w:rFonts w:hint="eastAsia" w:ascii="仿宋_GB2312" w:eastAsia="仿宋_GB2312" w:cs="仿宋_GB2312"/>
          <w:kern w:val="0"/>
          <w:sz w:val="24"/>
          <w:szCs w:val="24"/>
        </w:rPr>
        <w:t>）美元折算汇率均为当期期末中国外汇交易中心公布的人民币对美元汇率中间价。</w:t>
      </w:r>
    </w:p>
    <w:p>
      <w:pPr>
        <w:spacing w:line="360" w:lineRule="auto"/>
        <w:jc w:val="left"/>
      </w:pPr>
    </w:p>
    <w:p>
      <w:pPr>
        <w:spacing w:line="360" w:lineRule="auto"/>
        <w:jc w:val="left"/>
      </w:pPr>
      <w:r>
        <w:rPr>
          <w:rFonts w:ascii="仿宋_GB2312" w:eastAsia="仿宋_GB2312" w:cs="仿宋_GB2312"/>
          <w:kern w:val="0"/>
          <w:sz w:val="24"/>
          <w:szCs w:val="24"/>
        </w:rPr>
        <w:t>4.</w:t>
      </w:r>
      <w:r>
        <w:rPr>
          <w:rFonts w:hint="eastAsia" w:ascii="仿宋_GB2312" w:eastAsia="仿宋_GB2312" w:cs="仿宋_GB2312"/>
          <w:kern w:val="0"/>
          <w:sz w:val="24"/>
          <w:szCs w:val="24"/>
        </w:rPr>
        <w:t>理财产品投资资产情况</w:t>
      </w:r>
    </w:p>
    <w:tbl>
      <w:tblPr>
        <w:tblStyle w:val="9"/>
        <w:tblW w:w="8522" w:type="dxa"/>
        <w:tblInd w:w="0" w:type="dxa"/>
        <w:tblLayout w:type="fixed"/>
        <w:tblCellMar>
          <w:top w:w="0" w:type="dxa"/>
          <w:left w:w="108" w:type="dxa"/>
          <w:bottom w:w="0" w:type="dxa"/>
          <w:right w:w="108" w:type="dxa"/>
        </w:tblCellMar>
      </w:tblPr>
      <w:tblGrid>
        <w:gridCol w:w="2257"/>
        <w:gridCol w:w="1496"/>
        <w:gridCol w:w="1445"/>
        <w:gridCol w:w="2144"/>
        <w:gridCol w:w="1180"/>
      </w:tblGrid>
      <w:tr>
        <w:tblPrEx>
          <w:tblLayout w:type="fixed"/>
          <w:tblCellMar>
            <w:top w:w="0" w:type="dxa"/>
            <w:left w:w="108" w:type="dxa"/>
            <w:bottom w:w="0" w:type="dxa"/>
            <w:right w:w="108" w:type="dxa"/>
          </w:tblCellMar>
        </w:tblPrEx>
        <w:trPr>
          <w:trHeight w:val="255" w:hRule="atLeast"/>
        </w:trPr>
        <w:tc>
          <w:tcPr>
            <w:tcW w:w="225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资产类别</w:t>
            </w:r>
          </w:p>
        </w:tc>
        <w:tc>
          <w:tcPr>
            <w:tcW w:w="1496" w:type="dxa"/>
            <w:tcBorders>
              <w:top w:val="single" w:color="auto" w:sz="4" w:space="0"/>
              <w:left w:val="nil"/>
              <w:bottom w:val="single" w:color="auto" w:sz="4" w:space="0"/>
              <w:right w:val="single" w:color="auto" w:sz="4" w:space="0"/>
            </w:tcBorders>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直接金额（万元）</w:t>
            </w:r>
          </w:p>
        </w:tc>
        <w:tc>
          <w:tcPr>
            <w:tcW w:w="1445"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直接占比</w:t>
            </w:r>
          </w:p>
        </w:tc>
        <w:tc>
          <w:tcPr>
            <w:tcW w:w="214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间接金额（万元）</w:t>
            </w:r>
          </w:p>
        </w:tc>
        <w:tc>
          <w:tcPr>
            <w:tcW w:w="11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间接占比</w:t>
            </w:r>
          </w:p>
        </w:tc>
      </w:tr>
      <w:tr>
        <w:tblPrEx>
          <w:tblLayout w:type="fixed"/>
          <w:tblCellMar>
            <w:top w:w="0" w:type="dxa"/>
            <w:left w:w="108" w:type="dxa"/>
            <w:bottom w:w="0" w:type="dxa"/>
            <w:right w:w="108" w:type="dxa"/>
          </w:tblCellMar>
        </w:tblPrEx>
        <w:trPr>
          <w:trHeight w:val="255" w:hRule="atLeast"/>
        </w:trPr>
        <w:tc>
          <w:tcPr>
            <w:tcW w:w="22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现金及存款</w:t>
            </w:r>
          </w:p>
        </w:tc>
        <w:tc>
          <w:tcPr>
            <w:tcW w:w="1496" w:type="dxa"/>
            <w:tcBorders>
              <w:top w:val="single" w:color="auto" w:sz="4" w:space="0"/>
              <w:left w:val="nil"/>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 xml:space="preserve">7,367,454.25 </w:t>
            </w:r>
          </w:p>
        </w:tc>
        <w:tc>
          <w:tcPr>
            <w:tcW w:w="1445" w:type="dxa"/>
            <w:tcBorders>
              <w:top w:val="single" w:color="auto" w:sz="4" w:space="0"/>
              <w:left w:val="single" w:color="auto" w:sz="4" w:space="0"/>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7.9</w:t>
            </w:r>
            <w:r>
              <w:rPr>
                <w:rFonts w:hint="eastAsia" w:ascii="Arial" w:hAnsi="Arial" w:cs="Arial"/>
                <w:sz w:val="20"/>
                <w:szCs w:val="20"/>
              </w:rPr>
              <w:t>0</w:t>
            </w:r>
            <w:r>
              <w:rPr>
                <w:rFonts w:ascii="Arial" w:hAnsi="Arial" w:cs="Arial"/>
                <w:sz w:val="20"/>
                <w:szCs w:val="20"/>
              </w:rPr>
              <w:t>%</w:t>
            </w:r>
          </w:p>
        </w:tc>
        <w:tc>
          <w:tcPr>
            <w:tcW w:w="2144"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8846504.69</w:t>
            </w:r>
          </w:p>
        </w:tc>
        <w:tc>
          <w:tcPr>
            <w:tcW w:w="1180"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9.26%</w:t>
            </w:r>
          </w:p>
        </w:tc>
      </w:tr>
      <w:tr>
        <w:tblPrEx>
          <w:tblLayout w:type="fixed"/>
          <w:tblCellMar>
            <w:top w:w="0" w:type="dxa"/>
            <w:left w:w="108" w:type="dxa"/>
            <w:bottom w:w="0" w:type="dxa"/>
            <w:right w:w="108" w:type="dxa"/>
          </w:tblCellMar>
        </w:tblPrEx>
        <w:trPr>
          <w:trHeight w:val="255" w:hRule="atLeast"/>
        </w:trPr>
        <w:tc>
          <w:tcPr>
            <w:tcW w:w="22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债权类</w:t>
            </w:r>
          </w:p>
        </w:tc>
        <w:tc>
          <w:tcPr>
            <w:tcW w:w="1496" w:type="dxa"/>
            <w:tcBorders>
              <w:top w:val="single" w:color="auto" w:sz="4" w:space="0"/>
              <w:left w:val="nil"/>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 xml:space="preserve">58,129,851.28 </w:t>
            </w:r>
          </w:p>
        </w:tc>
        <w:tc>
          <w:tcPr>
            <w:tcW w:w="1445" w:type="dxa"/>
            <w:tcBorders>
              <w:top w:val="single" w:color="auto" w:sz="4" w:space="0"/>
              <w:left w:val="single" w:color="auto" w:sz="4" w:space="0"/>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62.39%</w:t>
            </w:r>
          </w:p>
        </w:tc>
        <w:tc>
          <w:tcPr>
            <w:tcW w:w="2144"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77,888,427.84</w:t>
            </w:r>
          </w:p>
        </w:tc>
        <w:tc>
          <w:tcPr>
            <w:tcW w:w="1180"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81.53%</w:t>
            </w:r>
          </w:p>
        </w:tc>
      </w:tr>
      <w:tr>
        <w:tblPrEx>
          <w:tblLayout w:type="fixed"/>
          <w:tblCellMar>
            <w:top w:w="0" w:type="dxa"/>
            <w:left w:w="108" w:type="dxa"/>
            <w:bottom w:w="0" w:type="dxa"/>
            <w:right w:w="108" w:type="dxa"/>
          </w:tblCellMar>
        </w:tblPrEx>
        <w:trPr>
          <w:trHeight w:val="255" w:hRule="atLeast"/>
        </w:trPr>
        <w:tc>
          <w:tcPr>
            <w:tcW w:w="22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1496" w:type="dxa"/>
            <w:tcBorders>
              <w:top w:val="single" w:color="auto" w:sz="4" w:space="0"/>
              <w:left w:val="nil"/>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 xml:space="preserve">0.00 </w:t>
            </w:r>
          </w:p>
        </w:tc>
        <w:tc>
          <w:tcPr>
            <w:tcW w:w="1445" w:type="dxa"/>
            <w:tcBorders>
              <w:top w:val="single" w:color="auto" w:sz="4" w:space="0"/>
              <w:left w:val="single" w:color="auto" w:sz="4" w:space="0"/>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0.00%</w:t>
            </w:r>
          </w:p>
        </w:tc>
        <w:tc>
          <w:tcPr>
            <w:tcW w:w="2144"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7,095,480.16</w:t>
            </w:r>
          </w:p>
        </w:tc>
        <w:tc>
          <w:tcPr>
            <w:tcW w:w="1180"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7.43%</w:t>
            </w:r>
          </w:p>
        </w:tc>
      </w:tr>
      <w:tr>
        <w:tblPrEx>
          <w:tblLayout w:type="fixed"/>
          <w:tblCellMar>
            <w:top w:w="0" w:type="dxa"/>
            <w:left w:w="108" w:type="dxa"/>
            <w:bottom w:w="0" w:type="dxa"/>
            <w:right w:w="108" w:type="dxa"/>
          </w:tblCellMar>
        </w:tblPrEx>
        <w:trPr>
          <w:trHeight w:val="255" w:hRule="atLeast"/>
        </w:trPr>
        <w:tc>
          <w:tcPr>
            <w:tcW w:w="22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其他</w:t>
            </w:r>
          </w:p>
        </w:tc>
        <w:tc>
          <w:tcPr>
            <w:tcW w:w="1496" w:type="dxa"/>
            <w:tcBorders>
              <w:top w:val="single" w:color="auto" w:sz="4" w:space="0"/>
              <w:left w:val="nil"/>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 xml:space="preserve">27,680,686.73 </w:t>
            </w:r>
          </w:p>
        </w:tc>
        <w:tc>
          <w:tcPr>
            <w:tcW w:w="1445" w:type="dxa"/>
            <w:tcBorders>
              <w:top w:val="single" w:color="auto" w:sz="4" w:space="0"/>
              <w:left w:val="single" w:color="auto" w:sz="4" w:space="0"/>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29.71%</w:t>
            </w:r>
          </w:p>
        </w:tc>
        <w:tc>
          <w:tcPr>
            <w:tcW w:w="2144"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1,706,347.63</w:t>
            </w:r>
          </w:p>
        </w:tc>
        <w:tc>
          <w:tcPr>
            <w:tcW w:w="1180"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1.79%</w:t>
            </w:r>
          </w:p>
        </w:tc>
      </w:tr>
      <w:tr>
        <w:tblPrEx>
          <w:tblLayout w:type="fixed"/>
          <w:tblCellMar>
            <w:top w:w="0" w:type="dxa"/>
            <w:left w:w="108" w:type="dxa"/>
            <w:bottom w:w="0" w:type="dxa"/>
            <w:right w:w="108" w:type="dxa"/>
          </w:tblCellMar>
        </w:tblPrEx>
        <w:trPr>
          <w:trHeight w:val="255" w:hRule="atLeast"/>
        </w:trPr>
        <w:tc>
          <w:tcPr>
            <w:tcW w:w="225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496" w:type="dxa"/>
            <w:tcBorders>
              <w:top w:val="single" w:color="auto" w:sz="4" w:space="0"/>
              <w:left w:val="nil"/>
              <w:bottom w:val="single" w:color="auto" w:sz="4" w:space="0"/>
              <w:right w:val="single" w:color="auto" w:sz="4" w:space="0"/>
            </w:tcBorders>
            <w:vAlign w:val="bottom"/>
          </w:tcPr>
          <w:p>
            <w:pPr>
              <w:jc w:val="right"/>
              <w:rPr>
                <w:rFonts w:ascii="Arial" w:hAnsi="Arial" w:cs="Arial"/>
                <w:sz w:val="20"/>
                <w:szCs w:val="20"/>
              </w:rPr>
            </w:pPr>
            <w:r>
              <w:rPr>
                <w:rFonts w:ascii="Arial" w:hAnsi="Arial" w:cs="Arial"/>
                <w:sz w:val="20"/>
                <w:szCs w:val="20"/>
              </w:rPr>
              <w:t xml:space="preserve">93,177,992.26 </w:t>
            </w:r>
          </w:p>
        </w:tc>
        <w:tc>
          <w:tcPr>
            <w:tcW w:w="1445" w:type="dxa"/>
            <w:tcBorders>
              <w:top w:val="single" w:color="auto" w:sz="4" w:space="0"/>
              <w:left w:val="single" w:color="auto" w:sz="4" w:space="0"/>
              <w:bottom w:val="single" w:color="auto" w:sz="4" w:space="0"/>
              <w:right w:val="single" w:color="auto" w:sz="4" w:space="0"/>
            </w:tcBorders>
          </w:tcPr>
          <w:p>
            <w:pPr>
              <w:jc w:val="right"/>
              <w:rPr>
                <w:rFonts w:ascii="Arial" w:hAnsi="Arial" w:cs="Arial"/>
                <w:sz w:val="20"/>
                <w:szCs w:val="20"/>
              </w:rPr>
            </w:pPr>
            <w:r>
              <w:rPr>
                <w:rFonts w:ascii="Arial" w:hAnsi="Arial" w:cs="Arial"/>
                <w:sz w:val="20"/>
                <w:szCs w:val="20"/>
              </w:rPr>
              <w:t>100.00%</w:t>
            </w:r>
          </w:p>
        </w:tc>
        <w:tc>
          <w:tcPr>
            <w:tcW w:w="2144"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95536760.32</w:t>
            </w:r>
          </w:p>
        </w:tc>
        <w:tc>
          <w:tcPr>
            <w:tcW w:w="1180"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r>
    </w:tbl>
    <w:p>
      <w:pPr>
        <w:autoSpaceDE w:val="0"/>
        <w:autoSpaceDN w:val="0"/>
        <w:adjustRightInd w:val="0"/>
        <w:jc w:val="left"/>
        <w:rPr>
          <w:rFonts w:ascii="仿宋_GB2312" w:eastAsia="仿宋_GB2312" w:cs="仿宋_GB2312"/>
          <w:kern w:val="0"/>
          <w:sz w:val="24"/>
          <w:szCs w:val="24"/>
        </w:rPr>
      </w:pPr>
      <w:r>
        <w:rPr>
          <w:rFonts w:hint="eastAsia" w:ascii="仿宋_GB2312" w:eastAsia="仿宋_GB2312" w:cs="仿宋_GB2312"/>
          <w:kern w:val="0"/>
          <w:sz w:val="24"/>
          <w:szCs w:val="24"/>
        </w:rPr>
        <w:t>备注：</w:t>
      </w:r>
    </w:p>
    <w:p>
      <w:pPr>
        <w:spacing w:line="360" w:lineRule="auto"/>
        <w:jc w:val="left"/>
      </w:pPr>
      <w:r>
        <w:rPr>
          <w:rFonts w:hint="eastAsia" w:ascii="仿宋_GB2312" w:eastAsia="仿宋_GB2312" w:cs="仿宋_GB2312"/>
          <w:kern w:val="0"/>
          <w:sz w:val="24"/>
          <w:szCs w:val="24"/>
        </w:rPr>
        <w:t>（1）美元折算汇率均为当期期末中国外汇交易中心公布的人民币对美元汇率中间价。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959"/>
    <w:multiLevelType w:val="multilevel"/>
    <w:tmpl w:val="0EE649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6E26"/>
    <w:rsid w:val="000C2BAC"/>
    <w:rsid w:val="000D257D"/>
    <w:rsid w:val="00102718"/>
    <w:rsid w:val="001038C3"/>
    <w:rsid w:val="00137A3A"/>
    <w:rsid w:val="001F3C30"/>
    <w:rsid w:val="00220E7A"/>
    <w:rsid w:val="0027601E"/>
    <w:rsid w:val="002B3DC9"/>
    <w:rsid w:val="002B7EBD"/>
    <w:rsid w:val="002E262D"/>
    <w:rsid w:val="002E367A"/>
    <w:rsid w:val="00326CCA"/>
    <w:rsid w:val="003308F1"/>
    <w:rsid w:val="00351C71"/>
    <w:rsid w:val="003B1A60"/>
    <w:rsid w:val="003B2BC4"/>
    <w:rsid w:val="003B6FB3"/>
    <w:rsid w:val="003C5BD4"/>
    <w:rsid w:val="003E5B28"/>
    <w:rsid w:val="0040293F"/>
    <w:rsid w:val="00432250"/>
    <w:rsid w:val="004607B6"/>
    <w:rsid w:val="004865E9"/>
    <w:rsid w:val="004D634D"/>
    <w:rsid w:val="004D669C"/>
    <w:rsid w:val="004E1FE3"/>
    <w:rsid w:val="00522607"/>
    <w:rsid w:val="00536B29"/>
    <w:rsid w:val="005570A5"/>
    <w:rsid w:val="00564DD0"/>
    <w:rsid w:val="00595568"/>
    <w:rsid w:val="005E0050"/>
    <w:rsid w:val="00606935"/>
    <w:rsid w:val="00646E26"/>
    <w:rsid w:val="006546B3"/>
    <w:rsid w:val="00672B9F"/>
    <w:rsid w:val="00675EAC"/>
    <w:rsid w:val="0068120F"/>
    <w:rsid w:val="006D604C"/>
    <w:rsid w:val="006E4C49"/>
    <w:rsid w:val="006E5933"/>
    <w:rsid w:val="0071555C"/>
    <w:rsid w:val="00756B94"/>
    <w:rsid w:val="00766327"/>
    <w:rsid w:val="007707CE"/>
    <w:rsid w:val="007A3911"/>
    <w:rsid w:val="007B0836"/>
    <w:rsid w:val="007E4FCD"/>
    <w:rsid w:val="007F612F"/>
    <w:rsid w:val="0080098F"/>
    <w:rsid w:val="008234A0"/>
    <w:rsid w:val="00826B9B"/>
    <w:rsid w:val="00834115"/>
    <w:rsid w:val="008408C3"/>
    <w:rsid w:val="00904EDF"/>
    <w:rsid w:val="009531C1"/>
    <w:rsid w:val="00962899"/>
    <w:rsid w:val="00970031"/>
    <w:rsid w:val="00971808"/>
    <w:rsid w:val="0098253E"/>
    <w:rsid w:val="0099469D"/>
    <w:rsid w:val="009D6D0E"/>
    <w:rsid w:val="00A606B6"/>
    <w:rsid w:val="00A60F48"/>
    <w:rsid w:val="00A75F30"/>
    <w:rsid w:val="00A807CA"/>
    <w:rsid w:val="00AE18AB"/>
    <w:rsid w:val="00B204D2"/>
    <w:rsid w:val="00B21929"/>
    <w:rsid w:val="00B51287"/>
    <w:rsid w:val="00B55F16"/>
    <w:rsid w:val="00B76811"/>
    <w:rsid w:val="00B91129"/>
    <w:rsid w:val="00BA7F79"/>
    <w:rsid w:val="00BD3416"/>
    <w:rsid w:val="00C003C9"/>
    <w:rsid w:val="00C06252"/>
    <w:rsid w:val="00C533C3"/>
    <w:rsid w:val="00C64B79"/>
    <w:rsid w:val="00C71E15"/>
    <w:rsid w:val="00CF0349"/>
    <w:rsid w:val="00D26930"/>
    <w:rsid w:val="00D3711E"/>
    <w:rsid w:val="00D56AA3"/>
    <w:rsid w:val="00D71759"/>
    <w:rsid w:val="00D918D4"/>
    <w:rsid w:val="00DC1732"/>
    <w:rsid w:val="00E1694D"/>
    <w:rsid w:val="00E32F09"/>
    <w:rsid w:val="00E61A8F"/>
    <w:rsid w:val="00E979D5"/>
    <w:rsid w:val="00EC5102"/>
    <w:rsid w:val="00ED09B2"/>
    <w:rsid w:val="00F20AD9"/>
    <w:rsid w:val="00F2273E"/>
    <w:rsid w:val="00F5305F"/>
    <w:rsid w:val="00FC46E3"/>
    <w:rsid w:val="00FF0C16"/>
    <w:rsid w:val="09EA4645"/>
    <w:rsid w:val="37B7589B"/>
    <w:rsid w:val="5CA15323"/>
    <w:rsid w:val="71826B28"/>
    <w:rsid w:val="7E75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3"/>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页眉 Char"/>
    <w:basedOn w:val="7"/>
    <w:link w:val="6"/>
    <w:semiHidden/>
    <w:uiPriority w:val="99"/>
    <w:rPr>
      <w:sz w:val="18"/>
      <w:szCs w:val="18"/>
    </w:rPr>
  </w:style>
  <w:style w:type="character" w:customStyle="1" w:styleId="11">
    <w:name w:val="页脚 Char"/>
    <w:basedOn w:val="7"/>
    <w:link w:val="5"/>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7"/>
    <w:link w:val="3"/>
    <w:semiHidden/>
    <w:uiPriority w:val="99"/>
  </w:style>
  <w:style w:type="character" w:customStyle="1" w:styleId="14">
    <w:name w:val="批注主题 Char"/>
    <w:basedOn w:val="13"/>
    <w:link w:val="2"/>
    <w:semiHidden/>
    <w:qFormat/>
    <w:uiPriority w:val="99"/>
    <w:rPr>
      <w:b/>
      <w:bCs/>
    </w:rPr>
  </w:style>
  <w:style w:type="character" w:customStyle="1" w:styleId="15">
    <w:name w:val="批注框文本 Char"/>
    <w:basedOn w:val="7"/>
    <w:link w:val="4"/>
    <w:semiHidden/>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95A51-A8FC-4F0A-8018-3EFEFF3842C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207</Words>
  <Characters>1183</Characters>
  <Lines>9</Lines>
  <Paragraphs>2</Paragraphs>
  <TotalTime>1</TotalTime>
  <ScaleCrop>false</ScaleCrop>
  <LinksUpToDate>false</LinksUpToDate>
  <CharactersWithSpaces>1388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2019-08-06T02:59:00Z</dcterms:created>
  <dc:creator>吴姗</dc:creator>
  <cp:lastModifiedBy>吴姗</cp:lastModifiedBy>
  <cp:lastPrinted>2021-02-03T05:38:00Z</cp:lastPrinted>
  <dcterms:modified xsi:type="dcterms:W3CDTF">2022-05-27T06:02:55Z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