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26" w:rsidRPr="007707CE" w:rsidRDefault="00297C94" w:rsidP="00ED09B2">
      <w:pPr>
        <w:spacing w:line="360" w:lineRule="auto"/>
        <w:jc w:val="center"/>
        <w:rPr>
          <w:rFonts w:ascii="仿宋_GB2312" w:eastAsia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cs="仿宋_GB2312" w:hint="eastAsia"/>
          <w:b/>
          <w:kern w:val="0"/>
          <w:sz w:val="44"/>
          <w:szCs w:val="44"/>
        </w:rPr>
        <w:t>兴银理财</w:t>
      </w:r>
      <w:r w:rsidR="002E262D">
        <w:rPr>
          <w:rFonts w:ascii="仿宋_GB2312" w:eastAsia="仿宋_GB2312" w:cs="仿宋_GB2312" w:hint="eastAsia"/>
          <w:b/>
          <w:kern w:val="0"/>
          <w:sz w:val="44"/>
          <w:szCs w:val="44"/>
        </w:rPr>
        <w:t>2020年上</w:t>
      </w:r>
      <w:r w:rsidR="004865E9">
        <w:rPr>
          <w:rFonts w:ascii="仿宋_GB2312" w:eastAsia="仿宋_GB2312" w:cs="仿宋_GB2312" w:hint="eastAsia"/>
          <w:b/>
          <w:kern w:val="0"/>
          <w:sz w:val="44"/>
          <w:szCs w:val="44"/>
        </w:rPr>
        <w:t>半年</w:t>
      </w:r>
      <w:r w:rsidR="00F2273E" w:rsidRPr="007707CE">
        <w:rPr>
          <w:rFonts w:ascii="仿宋_GB2312" w:eastAsia="仿宋_GB2312" w:cs="仿宋_GB2312" w:hint="eastAsia"/>
          <w:b/>
          <w:kern w:val="0"/>
          <w:sz w:val="44"/>
          <w:szCs w:val="44"/>
        </w:rPr>
        <w:t>度理财业务报告</w:t>
      </w:r>
    </w:p>
    <w:p w:rsidR="007707CE" w:rsidRDefault="007707CE" w:rsidP="00646E26">
      <w:pPr>
        <w:spacing w:line="360" w:lineRule="auto"/>
        <w:jc w:val="center"/>
        <w:rPr>
          <w:rFonts w:ascii="仿宋_GB2312" w:eastAsia="仿宋_GB2312" w:cs="仿宋_GB2312"/>
          <w:kern w:val="0"/>
          <w:sz w:val="24"/>
          <w:szCs w:val="24"/>
        </w:rPr>
      </w:pPr>
    </w:p>
    <w:p w:rsidR="00646E26" w:rsidRDefault="00646E26" w:rsidP="00646E26">
      <w:pPr>
        <w:spacing w:line="360" w:lineRule="auto"/>
        <w:jc w:val="center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t>报告期：</w:t>
      </w:r>
      <w:r w:rsidR="002E262D">
        <w:rPr>
          <w:rFonts w:ascii="仿宋_GB2312" w:eastAsia="仿宋_GB2312" w:cs="仿宋_GB2312"/>
          <w:kern w:val="0"/>
          <w:sz w:val="24"/>
          <w:szCs w:val="24"/>
        </w:rPr>
        <w:t>2020-01-01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至</w:t>
      </w:r>
      <w:r w:rsidR="002E262D">
        <w:rPr>
          <w:rFonts w:ascii="仿宋_GB2312" w:eastAsia="仿宋_GB2312" w:cs="仿宋_GB2312"/>
          <w:kern w:val="0"/>
          <w:sz w:val="24"/>
          <w:szCs w:val="24"/>
        </w:rPr>
        <w:t>2020-06-30</w:t>
      </w:r>
    </w:p>
    <w:p w:rsidR="00646E26" w:rsidRPr="0068120F" w:rsidRDefault="0068120F" w:rsidP="0068120F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cs="仿宋_GB2312"/>
          <w:kern w:val="0"/>
          <w:sz w:val="24"/>
          <w:szCs w:val="24"/>
        </w:rPr>
      </w:pPr>
      <w:r w:rsidRPr="0068120F">
        <w:rPr>
          <w:rFonts w:ascii="仿宋_GB2312" w:eastAsia="仿宋_GB2312" w:cs="仿宋_GB2312" w:hint="eastAsia"/>
          <w:kern w:val="0"/>
          <w:sz w:val="24"/>
          <w:szCs w:val="24"/>
        </w:rPr>
        <w:t>当期理财产品发行情况</w:t>
      </w:r>
    </w:p>
    <w:p w:rsidR="00023566" w:rsidRDefault="00023566" w:rsidP="004E1FE3">
      <w:pPr>
        <w:rPr>
          <w:rFonts w:ascii="仿宋_GB2312" w:eastAsia="仿宋_GB2312" w:cs="仿宋_GB2312"/>
          <w:kern w:val="0"/>
          <w:sz w:val="24"/>
          <w:szCs w:val="24"/>
        </w:rPr>
      </w:pPr>
    </w:p>
    <w:tbl>
      <w:tblPr>
        <w:tblW w:w="5000" w:type="pct"/>
        <w:tblLook w:val="04A0"/>
      </w:tblPr>
      <w:tblGrid>
        <w:gridCol w:w="2587"/>
        <w:gridCol w:w="648"/>
        <w:gridCol w:w="924"/>
        <w:gridCol w:w="1512"/>
        <w:gridCol w:w="907"/>
        <w:gridCol w:w="432"/>
        <w:gridCol w:w="432"/>
        <w:gridCol w:w="648"/>
        <w:gridCol w:w="432"/>
      </w:tblGrid>
      <w:tr w:rsidR="00023566" w:rsidRPr="00023566" w:rsidTr="00023566">
        <w:trPr>
          <w:trHeight w:val="330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6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</w:t>
            </w:r>
          </w:p>
        </w:tc>
      </w:tr>
      <w:tr w:rsidR="00023566" w:rsidRPr="00023566" w:rsidTr="00023566">
        <w:trPr>
          <w:trHeight w:val="88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数量占比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金额占比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数量占比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金额占比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按募集方式：</w:t>
            </w: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85.71%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12683226.61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98.07%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私募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14.29%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250000.00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1.93%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12933226.61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按投资性质：</w:t>
            </w: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固定收益类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78.57%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11458589.43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88.60%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权益类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商品及金融衍生品类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混合类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21.43%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1474637.17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11.40%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12933226.61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:rsidR="00023566" w:rsidRDefault="00023566" w:rsidP="004E1FE3">
      <w:pPr>
        <w:rPr>
          <w:rFonts w:ascii="仿宋_GB2312" w:eastAsia="仿宋_GB2312" w:cs="仿宋_GB2312"/>
          <w:kern w:val="0"/>
          <w:sz w:val="24"/>
          <w:szCs w:val="24"/>
        </w:rPr>
      </w:pPr>
    </w:p>
    <w:p w:rsidR="004E1FE3" w:rsidRPr="00102718" w:rsidRDefault="004E1FE3" w:rsidP="004E1FE3">
      <w:pPr>
        <w:rPr>
          <w:rFonts w:ascii="仿宋_GB2312" w:eastAsia="仿宋_GB2312" w:cs="仿宋_GB2312"/>
          <w:kern w:val="0"/>
          <w:sz w:val="24"/>
          <w:szCs w:val="24"/>
        </w:rPr>
      </w:pPr>
      <w:r w:rsidRPr="00102718">
        <w:rPr>
          <w:rFonts w:ascii="仿宋_GB2312" w:eastAsia="仿宋_GB2312" w:cs="仿宋_GB2312" w:hint="eastAsia"/>
          <w:kern w:val="0"/>
          <w:sz w:val="24"/>
          <w:szCs w:val="24"/>
        </w:rPr>
        <w:t>备注：</w:t>
      </w:r>
    </w:p>
    <w:p w:rsidR="004E1FE3" w:rsidRPr="00AE18AB" w:rsidRDefault="004E1FE3" w:rsidP="004E1FE3">
      <w:pPr>
        <w:rPr>
          <w:rFonts w:ascii="仿宋_GB2312" w:eastAsia="仿宋_GB2312" w:cs="仿宋_GB2312"/>
          <w:kern w:val="0"/>
          <w:sz w:val="24"/>
          <w:szCs w:val="24"/>
        </w:rPr>
      </w:pPr>
      <w:r w:rsidRPr="00AE18AB">
        <w:rPr>
          <w:rFonts w:ascii="仿宋_GB2312" w:eastAsia="仿宋_GB2312" w:cs="仿宋_GB2312" w:hint="eastAsia"/>
          <w:kern w:val="0"/>
          <w:sz w:val="24"/>
          <w:szCs w:val="24"/>
        </w:rPr>
        <w:t>（1）数据范围为报告期内新发行的非保本理财产品，以及报告期内所有非保本理财产品的认购和申购数据。</w:t>
      </w:r>
    </w:p>
    <w:p w:rsidR="004E1FE3" w:rsidRPr="00AE18AB" w:rsidRDefault="004E1FE3" w:rsidP="004E1FE3">
      <w:pPr>
        <w:rPr>
          <w:rFonts w:ascii="仿宋_GB2312" w:eastAsia="仿宋_GB2312" w:cs="仿宋_GB2312"/>
          <w:kern w:val="0"/>
          <w:sz w:val="24"/>
          <w:szCs w:val="24"/>
        </w:rPr>
      </w:pPr>
      <w:r w:rsidRPr="004E1FE3">
        <w:rPr>
          <w:rFonts w:ascii="仿宋_GB2312" w:eastAsia="仿宋_GB2312" w:cs="仿宋_GB2312" w:hint="eastAsia"/>
          <w:kern w:val="0"/>
          <w:sz w:val="24"/>
          <w:szCs w:val="24"/>
        </w:rPr>
        <w:t>（</w:t>
      </w:r>
      <w:r w:rsidRPr="004E1FE3">
        <w:rPr>
          <w:rFonts w:ascii="仿宋_GB2312" w:eastAsia="仿宋_GB2312" w:cs="仿宋_GB2312"/>
          <w:kern w:val="0"/>
          <w:sz w:val="24"/>
          <w:szCs w:val="24"/>
        </w:rPr>
        <w:t>2</w:t>
      </w:r>
      <w:r w:rsidRPr="004E1FE3">
        <w:rPr>
          <w:rFonts w:ascii="仿宋_GB2312" w:eastAsia="仿宋_GB2312" w:cs="仿宋_GB2312" w:hint="eastAsia"/>
          <w:kern w:val="0"/>
          <w:sz w:val="24"/>
          <w:szCs w:val="24"/>
        </w:rPr>
        <w:t>）美元折算汇率均为当期期末</w:t>
      </w:r>
      <w:r w:rsidR="00DC1732">
        <w:rPr>
          <w:rFonts w:ascii="仿宋_GB2312" w:eastAsia="仿宋_GB2312" w:cs="仿宋_GB2312" w:hint="eastAsia"/>
          <w:kern w:val="0"/>
          <w:sz w:val="24"/>
          <w:szCs w:val="24"/>
        </w:rPr>
        <w:t>中国外汇交易中心公布的人民币对美元汇率中间价。</w:t>
      </w:r>
    </w:p>
    <w:p w:rsidR="004E1FE3" w:rsidRDefault="004E1FE3" w:rsidP="0068120F">
      <w:pPr>
        <w:spacing w:line="360" w:lineRule="auto"/>
        <w:jc w:val="left"/>
      </w:pPr>
    </w:p>
    <w:p w:rsidR="004E1FE3" w:rsidRPr="0068120F" w:rsidRDefault="004E1FE3" w:rsidP="004E1FE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cs="仿宋_GB2312"/>
          <w:kern w:val="0"/>
          <w:sz w:val="24"/>
          <w:szCs w:val="24"/>
        </w:rPr>
      </w:pPr>
      <w:r w:rsidRPr="0068120F">
        <w:rPr>
          <w:rFonts w:ascii="仿宋_GB2312" w:eastAsia="仿宋_GB2312" w:cs="仿宋_GB2312" w:hint="eastAsia"/>
          <w:kern w:val="0"/>
          <w:sz w:val="24"/>
          <w:szCs w:val="24"/>
        </w:rPr>
        <w:t>当期理财产品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到期</w:t>
      </w:r>
      <w:r w:rsidRPr="0068120F">
        <w:rPr>
          <w:rFonts w:ascii="仿宋_GB2312" w:eastAsia="仿宋_GB2312" w:cs="仿宋_GB2312" w:hint="eastAsia"/>
          <w:kern w:val="0"/>
          <w:sz w:val="24"/>
          <w:szCs w:val="24"/>
        </w:rPr>
        <w:t>情况</w:t>
      </w:r>
    </w:p>
    <w:p w:rsidR="00023566" w:rsidRDefault="00023566" w:rsidP="008408C3">
      <w:pPr>
        <w:rPr>
          <w:rFonts w:ascii="仿宋_GB2312" w:eastAsia="仿宋_GB2312" w:cs="仿宋_GB2312"/>
          <w:kern w:val="0"/>
          <w:sz w:val="24"/>
          <w:szCs w:val="24"/>
        </w:rPr>
      </w:pPr>
    </w:p>
    <w:tbl>
      <w:tblPr>
        <w:tblW w:w="5000" w:type="pct"/>
        <w:tblLook w:val="04A0"/>
      </w:tblPr>
      <w:tblGrid>
        <w:gridCol w:w="2780"/>
        <w:gridCol w:w="683"/>
        <w:gridCol w:w="449"/>
        <w:gridCol w:w="1617"/>
        <w:gridCol w:w="963"/>
        <w:gridCol w:w="449"/>
        <w:gridCol w:w="449"/>
        <w:gridCol w:w="683"/>
        <w:gridCol w:w="449"/>
      </w:tblGrid>
      <w:tr w:rsidR="00023566" w:rsidRPr="00023566" w:rsidTr="00AA027C">
        <w:trPr>
          <w:trHeight w:val="330"/>
        </w:trPr>
        <w:tc>
          <w:tcPr>
            <w:tcW w:w="1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1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</w:t>
            </w:r>
          </w:p>
        </w:tc>
      </w:tr>
      <w:tr w:rsidR="00AA027C" w:rsidRPr="00023566" w:rsidTr="00AA027C">
        <w:trPr>
          <w:trHeight w:val="88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数量占比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金额占比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数量占比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金额占比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按募集方式：</w:t>
            </w: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公募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22057857.97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私募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22057857.97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按投资性质：</w:t>
            </w: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固定收益类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22057857.97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权益类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商品及金融衍生品类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混合类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AA027C" w:rsidRPr="00023566" w:rsidTr="00AA027C">
        <w:trPr>
          <w:trHeight w:val="31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22057857.97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:rsidR="00023566" w:rsidRDefault="00023566" w:rsidP="008408C3">
      <w:pPr>
        <w:rPr>
          <w:rFonts w:ascii="仿宋_GB2312" w:eastAsia="仿宋_GB2312" w:cs="仿宋_GB2312"/>
          <w:kern w:val="0"/>
          <w:sz w:val="24"/>
          <w:szCs w:val="24"/>
        </w:rPr>
      </w:pPr>
    </w:p>
    <w:p w:rsidR="008408C3" w:rsidRPr="00EC5102" w:rsidRDefault="008408C3" w:rsidP="008408C3">
      <w:pPr>
        <w:rPr>
          <w:rFonts w:ascii="仿宋_GB2312" w:eastAsia="仿宋_GB2312" w:cs="仿宋_GB2312"/>
          <w:kern w:val="0"/>
          <w:sz w:val="24"/>
          <w:szCs w:val="24"/>
        </w:rPr>
      </w:pPr>
      <w:r w:rsidRPr="00EC5102">
        <w:rPr>
          <w:rFonts w:ascii="仿宋_GB2312" w:eastAsia="仿宋_GB2312" w:cs="仿宋_GB2312" w:hint="eastAsia"/>
          <w:kern w:val="0"/>
          <w:sz w:val="24"/>
          <w:szCs w:val="24"/>
        </w:rPr>
        <w:t>备注：</w:t>
      </w:r>
    </w:p>
    <w:p w:rsidR="008408C3" w:rsidRPr="00EC5102" w:rsidRDefault="008408C3" w:rsidP="008408C3">
      <w:pPr>
        <w:rPr>
          <w:rFonts w:ascii="仿宋_GB2312" w:eastAsia="仿宋_GB2312" w:cs="仿宋_GB2312"/>
          <w:kern w:val="0"/>
          <w:sz w:val="24"/>
          <w:szCs w:val="24"/>
        </w:rPr>
      </w:pPr>
      <w:r w:rsidRPr="00EC5102">
        <w:rPr>
          <w:rFonts w:ascii="仿宋_GB2312" w:eastAsia="仿宋_GB2312" w:cs="仿宋_GB2312" w:hint="eastAsia"/>
          <w:kern w:val="0"/>
          <w:sz w:val="24"/>
          <w:szCs w:val="24"/>
        </w:rPr>
        <w:t>（1）数据范围为报告期内到期的非保本理财产品，以及报告期内所有非保本理财产品的到期和赎回数据。</w:t>
      </w:r>
    </w:p>
    <w:p w:rsidR="008408C3" w:rsidRDefault="008408C3" w:rsidP="008408C3">
      <w:r w:rsidRPr="004E1FE3">
        <w:rPr>
          <w:rFonts w:ascii="仿宋_GB2312" w:eastAsia="仿宋_GB2312" w:cs="仿宋_GB2312" w:hint="eastAsia"/>
          <w:kern w:val="0"/>
          <w:sz w:val="24"/>
          <w:szCs w:val="24"/>
        </w:rPr>
        <w:t>（</w:t>
      </w:r>
      <w:r w:rsidRPr="004E1FE3">
        <w:rPr>
          <w:rFonts w:ascii="仿宋_GB2312" w:eastAsia="仿宋_GB2312" w:cs="仿宋_GB2312"/>
          <w:kern w:val="0"/>
          <w:sz w:val="24"/>
          <w:szCs w:val="24"/>
        </w:rPr>
        <w:t>2</w:t>
      </w:r>
      <w:r w:rsidRPr="004E1FE3">
        <w:rPr>
          <w:rFonts w:ascii="仿宋_GB2312" w:eastAsia="仿宋_GB2312" w:cs="仿宋_GB2312" w:hint="eastAsia"/>
          <w:kern w:val="0"/>
          <w:sz w:val="24"/>
          <w:szCs w:val="24"/>
        </w:rPr>
        <w:t>）美元折算汇率均为当期期末</w:t>
      </w:r>
      <w:r w:rsidR="00DC1732">
        <w:rPr>
          <w:rFonts w:ascii="仿宋_GB2312" w:eastAsia="仿宋_GB2312" w:cs="仿宋_GB2312" w:hint="eastAsia"/>
          <w:kern w:val="0"/>
          <w:sz w:val="24"/>
          <w:szCs w:val="24"/>
        </w:rPr>
        <w:t>中国外汇交易中心公布的人民币对美元汇率中间价。</w:t>
      </w:r>
    </w:p>
    <w:p w:rsidR="004E1FE3" w:rsidRDefault="004E1FE3" w:rsidP="004E1FE3">
      <w:pPr>
        <w:spacing w:line="360" w:lineRule="auto"/>
        <w:jc w:val="left"/>
      </w:pPr>
    </w:p>
    <w:p w:rsidR="00023566" w:rsidRPr="00AA027C" w:rsidRDefault="008408C3" w:rsidP="0099469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_GB2312" w:eastAsia="仿宋_GB2312" w:cs="仿宋_GB2312"/>
          <w:kern w:val="0"/>
          <w:sz w:val="24"/>
          <w:szCs w:val="24"/>
        </w:rPr>
      </w:pPr>
      <w:r w:rsidRPr="00AA027C">
        <w:rPr>
          <w:rFonts w:ascii="仿宋_GB2312" w:eastAsia="仿宋_GB2312" w:cs="仿宋_GB2312" w:hint="eastAsia"/>
          <w:kern w:val="0"/>
          <w:sz w:val="24"/>
          <w:szCs w:val="24"/>
        </w:rPr>
        <w:t>期末存续理财产品情况</w:t>
      </w:r>
    </w:p>
    <w:tbl>
      <w:tblPr>
        <w:tblW w:w="5000" w:type="pct"/>
        <w:tblLook w:val="04A0"/>
      </w:tblPr>
      <w:tblGrid>
        <w:gridCol w:w="2587"/>
        <w:gridCol w:w="648"/>
        <w:gridCol w:w="924"/>
        <w:gridCol w:w="1512"/>
        <w:gridCol w:w="907"/>
        <w:gridCol w:w="432"/>
        <w:gridCol w:w="432"/>
        <w:gridCol w:w="648"/>
        <w:gridCol w:w="432"/>
      </w:tblGrid>
      <w:tr w:rsidR="00023566" w:rsidRPr="00023566" w:rsidTr="00023566">
        <w:trPr>
          <w:trHeight w:val="900"/>
        </w:trPr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6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</w:t>
            </w:r>
          </w:p>
        </w:tc>
      </w:tr>
      <w:tr w:rsidR="00023566" w:rsidRPr="00023566" w:rsidTr="00023566">
        <w:trPr>
          <w:trHeight w:val="88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数量占比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金额占比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数量占比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金额占比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按募集方式：</w:t>
            </w: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64.79%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25201562.79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96.79%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私募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35.21%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836651.72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3.21%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26038214.51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按投资性质：</w:t>
            </w: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固定收益类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92.96%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23624119.71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90.73%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权益类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商品及金融衍生品类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混合类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7.04%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2414094.80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23566" w:rsidRPr="00023566" w:rsidTr="00023566">
        <w:trPr>
          <w:trHeight w:val="315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356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35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26038214.51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66" w:rsidRPr="00023566" w:rsidRDefault="00023566" w:rsidP="000235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2356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566" w:rsidRPr="00023566" w:rsidRDefault="00176305" w:rsidP="000235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:rsidR="00023566" w:rsidRDefault="00023566" w:rsidP="0099469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 w:rsidR="0099469D" w:rsidRDefault="0099469D" w:rsidP="0099469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t>备注</w:t>
      </w:r>
      <w:r>
        <w:rPr>
          <w:rFonts w:ascii="仿宋_GB2312" w:eastAsia="仿宋_GB2312" w:cs="仿宋_GB2312"/>
          <w:kern w:val="0"/>
          <w:sz w:val="24"/>
          <w:szCs w:val="24"/>
        </w:rPr>
        <w:t>:</w:t>
      </w:r>
    </w:p>
    <w:p w:rsidR="0099469D" w:rsidRDefault="0099469D" w:rsidP="0099469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t>（</w:t>
      </w:r>
      <w:r>
        <w:rPr>
          <w:rFonts w:ascii="仿宋_GB2312" w:eastAsia="仿宋_GB2312" w:cs="仿宋_GB2312"/>
          <w:kern w:val="0"/>
          <w:sz w:val="24"/>
          <w:szCs w:val="24"/>
        </w:rPr>
        <w:t>1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）数据范围为报告期末存续的非保本理财产品</w:t>
      </w:r>
    </w:p>
    <w:p w:rsidR="008408C3" w:rsidRDefault="0099469D" w:rsidP="0099469D">
      <w:pPr>
        <w:spacing w:line="360" w:lineRule="auto"/>
        <w:jc w:val="left"/>
      </w:pPr>
      <w:r>
        <w:rPr>
          <w:rFonts w:ascii="仿宋_GB2312" w:eastAsia="仿宋_GB2312" w:cs="仿宋_GB2312" w:hint="eastAsia"/>
          <w:kern w:val="0"/>
          <w:sz w:val="24"/>
          <w:szCs w:val="24"/>
        </w:rPr>
        <w:t>（</w:t>
      </w:r>
      <w:r>
        <w:rPr>
          <w:rFonts w:ascii="仿宋_GB2312" w:eastAsia="仿宋_GB2312" w:cs="仿宋_GB2312"/>
          <w:kern w:val="0"/>
          <w:sz w:val="24"/>
          <w:szCs w:val="24"/>
        </w:rPr>
        <w:t>2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）美元折算汇率均为当期期末</w:t>
      </w:r>
      <w:r w:rsidR="00DC1732">
        <w:rPr>
          <w:rFonts w:ascii="仿宋_GB2312" w:eastAsia="仿宋_GB2312" w:cs="仿宋_GB2312" w:hint="eastAsia"/>
          <w:kern w:val="0"/>
          <w:sz w:val="24"/>
          <w:szCs w:val="24"/>
        </w:rPr>
        <w:t>中国外汇交易中心公布的人民币对美元汇率中间价。</w:t>
      </w:r>
    </w:p>
    <w:p w:rsidR="00A75F30" w:rsidRDefault="00A75F30" w:rsidP="004E1FE3">
      <w:pPr>
        <w:spacing w:line="360" w:lineRule="auto"/>
        <w:jc w:val="left"/>
      </w:pPr>
    </w:p>
    <w:p w:rsidR="0099469D" w:rsidRDefault="0099469D" w:rsidP="004E1FE3">
      <w:pPr>
        <w:spacing w:line="360" w:lineRule="auto"/>
        <w:jc w:val="left"/>
      </w:pPr>
      <w:r>
        <w:rPr>
          <w:rFonts w:ascii="仿宋_GB2312" w:eastAsia="仿宋_GB2312" w:cs="仿宋_GB2312"/>
          <w:kern w:val="0"/>
          <w:sz w:val="24"/>
          <w:szCs w:val="24"/>
        </w:rPr>
        <w:t>4.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理财产品投资资产情况</w:t>
      </w:r>
    </w:p>
    <w:tbl>
      <w:tblPr>
        <w:tblW w:w="5000" w:type="pct"/>
        <w:tblLook w:val="04A0"/>
      </w:tblPr>
      <w:tblGrid>
        <w:gridCol w:w="2257"/>
        <w:gridCol w:w="1496"/>
        <w:gridCol w:w="1445"/>
        <w:gridCol w:w="2144"/>
        <w:gridCol w:w="1180"/>
      </w:tblGrid>
      <w:tr w:rsidR="00A17781" w:rsidRPr="00B91129" w:rsidTr="00E73BA0">
        <w:trPr>
          <w:trHeight w:val="25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781" w:rsidRPr="00A60F48" w:rsidRDefault="00A17781" w:rsidP="00B55F16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A60F48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资产类别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781" w:rsidRPr="00A60F48" w:rsidRDefault="00A17781" w:rsidP="00B55F16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直接</w:t>
            </w:r>
            <w:r w:rsidRPr="00A60F48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781" w:rsidRPr="00A60F48" w:rsidRDefault="00A17781" w:rsidP="00B55F16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直接</w:t>
            </w:r>
            <w:r w:rsidRPr="00A60F48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占比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781" w:rsidRPr="00A60F48" w:rsidRDefault="00A17781" w:rsidP="00B55F16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间接</w:t>
            </w:r>
            <w:r w:rsidRPr="00A60F48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781" w:rsidRPr="00A60F48" w:rsidRDefault="00A17781" w:rsidP="00B55F16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间接</w:t>
            </w:r>
            <w:r w:rsidRPr="00A60F48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占比</w:t>
            </w:r>
          </w:p>
        </w:tc>
      </w:tr>
      <w:tr w:rsidR="00E73BA0" w:rsidRPr="00B91129" w:rsidTr="00E73BA0">
        <w:trPr>
          <w:trHeight w:val="25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BA0" w:rsidRPr="00DC1732" w:rsidRDefault="00E73BA0" w:rsidP="00DC1732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C173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现金及存款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BA0" w:rsidRDefault="00DF52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2FB">
              <w:rPr>
                <w:rFonts w:ascii="Arial" w:hAnsi="Arial" w:cs="Arial"/>
                <w:sz w:val="20"/>
                <w:szCs w:val="20"/>
              </w:rPr>
              <w:t xml:space="preserve">3,033,396.04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10.13%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4,567,902.74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15.25%</w:t>
            </w:r>
          </w:p>
        </w:tc>
      </w:tr>
      <w:tr w:rsidR="00E73BA0" w:rsidRPr="00B91129" w:rsidTr="00E73BA0">
        <w:trPr>
          <w:trHeight w:val="25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BA0" w:rsidRPr="00DC1732" w:rsidRDefault="00E73BA0" w:rsidP="00DC1732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C173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债权类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22,954,091.83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76.64%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24,540,620.67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81.94%</w:t>
            </w:r>
          </w:p>
        </w:tc>
      </w:tr>
      <w:tr w:rsidR="00E73BA0" w:rsidRPr="00B91129" w:rsidTr="00E73BA0">
        <w:trPr>
          <w:trHeight w:val="25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BA0" w:rsidRPr="00DC1732" w:rsidRDefault="00E73BA0" w:rsidP="00DC1732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C173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权益类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0.00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0.00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73BA0" w:rsidRPr="00B91129" w:rsidTr="00E73BA0">
        <w:trPr>
          <w:trHeight w:val="25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BA0" w:rsidRPr="00DC1732" w:rsidRDefault="00E73BA0" w:rsidP="00DC1732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C173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A0" w:rsidRP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3,962,801.36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0" w:rsidRPr="00201FF8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13.23%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201FF8">
              <w:rPr>
                <w:rFonts w:ascii="Arial" w:eastAsia="宋体" w:hAnsi="Arial" w:cs="Arial"/>
                <w:sz w:val="20"/>
                <w:szCs w:val="20"/>
              </w:rPr>
              <w:t>841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,</w:t>
            </w:r>
            <w:r w:rsidRPr="00201FF8">
              <w:rPr>
                <w:rFonts w:ascii="Arial" w:eastAsia="宋体" w:hAnsi="Arial" w:cs="Arial"/>
                <w:sz w:val="20"/>
                <w:szCs w:val="20"/>
              </w:rPr>
              <w:t>765.82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2.81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73BA0" w:rsidRPr="00B91129" w:rsidTr="00E73BA0">
        <w:trPr>
          <w:trHeight w:val="25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BA0" w:rsidRPr="00A60F48" w:rsidRDefault="00E73BA0" w:rsidP="00B55F16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A60F48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BA0" w:rsidRDefault="00DF52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2FB">
              <w:rPr>
                <w:rFonts w:ascii="Arial" w:hAnsi="Arial" w:cs="Arial"/>
                <w:sz w:val="20"/>
                <w:szCs w:val="20"/>
              </w:rPr>
              <w:t xml:space="preserve">29,950,289.23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0" w:rsidRDefault="00E73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29,950,289.23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BA0" w:rsidRDefault="00E73BA0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100.00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B91129" w:rsidRDefault="00B91129" w:rsidP="00B9112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t>备注：</w:t>
      </w:r>
    </w:p>
    <w:p w:rsidR="00B91129" w:rsidRPr="008408C3" w:rsidRDefault="00B91129" w:rsidP="00B91129">
      <w:pPr>
        <w:spacing w:line="360" w:lineRule="auto"/>
        <w:jc w:val="left"/>
      </w:pPr>
      <w:r>
        <w:rPr>
          <w:rFonts w:ascii="仿宋_GB2312" w:eastAsia="仿宋_GB2312" w:cs="仿宋_GB2312" w:hint="eastAsia"/>
          <w:kern w:val="0"/>
          <w:sz w:val="24"/>
          <w:szCs w:val="24"/>
        </w:rPr>
        <w:t>（</w:t>
      </w:r>
      <w:r w:rsidR="00A807CA">
        <w:rPr>
          <w:rFonts w:ascii="仿宋_GB2312" w:eastAsia="仿宋_GB2312" w:cs="仿宋_GB2312" w:hint="eastAsia"/>
          <w:kern w:val="0"/>
          <w:sz w:val="24"/>
          <w:szCs w:val="24"/>
        </w:rPr>
        <w:t>1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）美元折算汇率均为当期期末</w:t>
      </w:r>
      <w:r w:rsidR="00DC1732">
        <w:rPr>
          <w:rFonts w:ascii="仿宋_GB2312" w:eastAsia="仿宋_GB2312" w:cs="仿宋_GB2312" w:hint="eastAsia"/>
          <w:kern w:val="0"/>
          <w:sz w:val="24"/>
          <w:szCs w:val="24"/>
        </w:rPr>
        <w:t>中国外汇交易中心公布的人民币对美元汇率中间价。</w:t>
      </w:r>
    </w:p>
    <w:sectPr w:rsidR="00B91129" w:rsidRPr="008408C3" w:rsidSect="00A6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22" w:rsidRDefault="00342A22" w:rsidP="00646E26">
      <w:r>
        <w:separator/>
      </w:r>
    </w:p>
  </w:endnote>
  <w:endnote w:type="continuationSeparator" w:id="0">
    <w:p w:rsidR="00342A22" w:rsidRDefault="00342A22" w:rsidP="0064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22" w:rsidRDefault="00342A22" w:rsidP="00646E26">
      <w:r>
        <w:separator/>
      </w:r>
    </w:p>
  </w:footnote>
  <w:footnote w:type="continuationSeparator" w:id="0">
    <w:p w:rsidR="00342A22" w:rsidRDefault="00342A22" w:rsidP="00646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959"/>
    <w:multiLevelType w:val="hybridMultilevel"/>
    <w:tmpl w:val="869A43A4"/>
    <w:lvl w:ilvl="0" w:tplc="AC1AD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E26"/>
    <w:rsid w:val="00023566"/>
    <w:rsid w:val="000C2BAC"/>
    <w:rsid w:val="000D257D"/>
    <w:rsid w:val="000E3C08"/>
    <w:rsid w:val="00102718"/>
    <w:rsid w:val="001038C3"/>
    <w:rsid w:val="0013136E"/>
    <w:rsid w:val="00137A3A"/>
    <w:rsid w:val="00176305"/>
    <w:rsid w:val="001F3C30"/>
    <w:rsid w:val="00201FF8"/>
    <w:rsid w:val="00220E7A"/>
    <w:rsid w:val="0027601E"/>
    <w:rsid w:val="00297C94"/>
    <w:rsid w:val="002A5FA4"/>
    <w:rsid w:val="002B3DC9"/>
    <w:rsid w:val="002E262D"/>
    <w:rsid w:val="002E367A"/>
    <w:rsid w:val="003173BC"/>
    <w:rsid w:val="00326CCA"/>
    <w:rsid w:val="00342A22"/>
    <w:rsid w:val="00351C71"/>
    <w:rsid w:val="003B1A60"/>
    <w:rsid w:val="003B6FB3"/>
    <w:rsid w:val="003C5BD4"/>
    <w:rsid w:val="00432250"/>
    <w:rsid w:val="004865E9"/>
    <w:rsid w:val="004D191F"/>
    <w:rsid w:val="004D634D"/>
    <w:rsid w:val="004E1FE3"/>
    <w:rsid w:val="00522607"/>
    <w:rsid w:val="00536B29"/>
    <w:rsid w:val="005570A5"/>
    <w:rsid w:val="00564DD0"/>
    <w:rsid w:val="00581779"/>
    <w:rsid w:val="005E0050"/>
    <w:rsid w:val="00646E26"/>
    <w:rsid w:val="00665740"/>
    <w:rsid w:val="00675EAC"/>
    <w:rsid w:val="0068120F"/>
    <w:rsid w:val="006B203A"/>
    <w:rsid w:val="006D604C"/>
    <w:rsid w:val="006E4C49"/>
    <w:rsid w:val="006E5933"/>
    <w:rsid w:val="0071555C"/>
    <w:rsid w:val="00734B3B"/>
    <w:rsid w:val="00766327"/>
    <w:rsid w:val="007707CE"/>
    <w:rsid w:val="007A3911"/>
    <w:rsid w:val="007B0836"/>
    <w:rsid w:val="007E4FCD"/>
    <w:rsid w:val="007F5C0C"/>
    <w:rsid w:val="0080098F"/>
    <w:rsid w:val="00802F11"/>
    <w:rsid w:val="00826B9B"/>
    <w:rsid w:val="00834115"/>
    <w:rsid w:val="008408C3"/>
    <w:rsid w:val="00842A29"/>
    <w:rsid w:val="008D6B90"/>
    <w:rsid w:val="008F4863"/>
    <w:rsid w:val="00904EDF"/>
    <w:rsid w:val="0091222D"/>
    <w:rsid w:val="009531C1"/>
    <w:rsid w:val="00970031"/>
    <w:rsid w:val="00971808"/>
    <w:rsid w:val="0098253E"/>
    <w:rsid w:val="009827AE"/>
    <w:rsid w:val="0099469D"/>
    <w:rsid w:val="00A136A4"/>
    <w:rsid w:val="00A17781"/>
    <w:rsid w:val="00A606B6"/>
    <w:rsid w:val="00A60F48"/>
    <w:rsid w:val="00A75F30"/>
    <w:rsid w:val="00A807CA"/>
    <w:rsid w:val="00AA027C"/>
    <w:rsid w:val="00AE18AB"/>
    <w:rsid w:val="00B204D2"/>
    <w:rsid w:val="00B21929"/>
    <w:rsid w:val="00B51287"/>
    <w:rsid w:val="00B55F16"/>
    <w:rsid w:val="00B91129"/>
    <w:rsid w:val="00BD075C"/>
    <w:rsid w:val="00C003C9"/>
    <w:rsid w:val="00C06252"/>
    <w:rsid w:val="00C64B79"/>
    <w:rsid w:val="00C71E15"/>
    <w:rsid w:val="00CF0349"/>
    <w:rsid w:val="00D3711E"/>
    <w:rsid w:val="00D71759"/>
    <w:rsid w:val="00D918D4"/>
    <w:rsid w:val="00DC1732"/>
    <w:rsid w:val="00DF52FB"/>
    <w:rsid w:val="00E11E4C"/>
    <w:rsid w:val="00E32F09"/>
    <w:rsid w:val="00E73BA0"/>
    <w:rsid w:val="00E979D5"/>
    <w:rsid w:val="00EC5102"/>
    <w:rsid w:val="00EC5A86"/>
    <w:rsid w:val="00ED09B2"/>
    <w:rsid w:val="00ED1462"/>
    <w:rsid w:val="00ED5373"/>
    <w:rsid w:val="00EE57EB"/>
    <w:rsid w:val="00F20AD9"/>
    <w:rsid w:val="00F2273E"/>
    <w:rsid w:val="00FC46E3"/>
    <w:rsid w:val="00F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E26"/>
    <w:rPr>
      <w:sz w:val="18"/>
      <w:szCs w:val="18"/>
    </w:rPr>
  </w:style>
  <w:style w:type="paragraph" w:styleId="a5">
    <w:name w:val="List Paragraph"/>
    <w:basedOn w:val="a"/>
    <w:uiPriority w:val="34"/>
    <w:qFormat/>
    <w:rsid w:val="0068120F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3411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3411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3411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3411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3411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3411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34115"/>
    <w:rPr>
      <w:sz w:val="18"/>
      <w:szCs w:val="18"/>
    </w:rPr>
  </w:style>
  <w:style w:type="paragraph" w:styleId="aa">
    <w:name w:val="Revision"/>
    <w:hidden/>
    <w:uiPriority w:val="99"/>
    <w:semiHidden/>
    <w:rsid w:val="0083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5E44A-0E15-4464-B455-88CF5BC1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3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吴姗</dc:creator>
  <cp:keywords/>
  <dc:description/>
  <cp:lastModifiedBy>吴姗</cp:lastModifiedBy>
  <cp:revision>232</cp:revision>
  <dcterms:created xsi:type="dcterms:W3CDTF">2019-08-06T02:59:00Z</dcterms:created>
  <dcterms:modified xsi:type="dcterms:W3CDTF">2022-08-25T08:54:00Z</dcterms:modified>
</cp:coreProperties>
</file>